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EDCD" w14:textId="0C1CEA28" w:rsidR="003B75B7" w:rsidRPr="00120480" w:rsidRDefault="00C2450E" w:rsidP="00C2450E">
      <w:pPr>
        <w:jc w:val="center"/>
        <w:rPr>
          <w:sz w:val="28"/>
          <w:szCs w:val="28"/>
        </w:rPr>
      </w:pPr>
      <w:r w:rsidRPr="00120480">
        <w:rPr>
          <w:sz w:val="28"/>
          <w:szCs w:val="28"/>
        </w:rPr>
        <w:t>Обзор текущей ситуации</w:t>
      </w:r>
      <w:r w:rsidRPr="00120480">
        <w:rPr>
          <w:sz w:val="28"/>
          <w:szCs w:val="28"/>
        </w:rPr>
        <w:br/>
      </w:r>
      <w:r w:rsidRPr="00120480">
        <w:rPr>
          <w:sz w:val="28"/>
          <w:szCs w:val="28"/>
        </w:rPr>
        <w:t>в области долевого строительства многоквартирных домов и</w:t>
      </w:r>
      <w:r w:rsidRPr="00120480">
        <w:rPr>
          <w:sz w:val="28"/>
          <w:szCs w:val="28"/>
        </w:rPr>
        <w:br/>
      </w:r>
      <w:r w:rsidRPr="00120480">
        <w:rPr>
          <w:sz w:val="28"/>
          <w:szCs w:val="28"/>
        </w:rPr>
        <w:t>иных объектов недвижимости</w:t>
      </w:r>
      <w:r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>по итогам 1 квартала 2024 г.</w:t>
      </w:r>
    </w:p>
    <w:p w14:paraId="54B9A064" w14:textId="77777777" w:rsidR="00120480" w:rsidRPr="00120480" w:rsidRDefault="00120480" w:rsidP="00C2450E">
      <w:pPr>
        <w:jc w:val="center"/>
        <w:rPr>
          <w:sz w:val="28"/>
          <w:szCs w:val="28"/>
        </w:rPr>
      </w:pPr>
    </w:p>
    <w:p w14:paraId="66E0AFC7" w14:textId="2C2A9B32" w:rsidR="00965660" w:rsidRPr="00120480" w:rsidRDefault="003E102D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мониторинге ситуации в Красноярском крае</w:t>
      </w:r>
      <w:r w:rsidR="00120480" w:rsidRPr="0012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долевого строительства многоквартирных домов и иных объектов недвижимости, </w:t>
      </w:r>
      <w:r w:rsidR="000C24DD" w:rsidRPr="0012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</w:t>
      </w:r>
      <w:r w:rsidRPr="0012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анализа информации, размещенной застройщиками в проектных декларациях в Единой информационной системе жилищного строительства</w:t>
      </w:r>
      <w:r w:rsidR="00052C63" w:rsidRPr="0012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20480">
        <w:rPr>
          <w:rFonts w:ascii="Times New Roman" w:hAnsi="Times New Roman" w:cs="Times New Roman"/>
          <w:sz w:val="28"/>
          <w:szCs w:val="28"/>
        </w:rPr>
        <w:t>(далее – ЕИСЖС)</w:t>
      </w:r>
      <w:r w:rsidRPr="00120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11D27" w:rsidRPr="00120480">
        <w:rPr>
          <w:rFonts w:ascii="Times New Roman" w:hAnsi="Times New Roman" w:cs="Times New Roman"/>
          <w:sz w:val="28"/>
          <w:szCs w:val="28"/>
        </w:rPr>
        <w:t>п</w:t>
      </w:r>
      <w:r w:rsidR="00F76FA2" w:rsidRPr="00120480">
        <w:rPr>
          <w:rFonts w:ascii="Times New Roman" w:hAnsi="Times New Roman" w:cs="Times New Roman"/>
          <w:sz w:val="28"/>
          <w:szCs w:val="28"/>
        </w:rPr>
        <w:t xml:space="preserve">о 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F727E9" w:rsidRPr="00120480">
        <w:rPr>
          <w:rFonts w:ascii="Times New Roman" w:hAnsi="Times New Roman" w:cs="Times New Roman"/>
          <w:sz w:val="28"/>
          <w:szCs w:val="28"/>
        </w:rPr>
        <w:t>1 квартала</w:t>
      </w:r>
      <w:r w:rsidR="005F099E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1F66CC" w:rsidRPr="00120480">
        <w:rPr>
          <w:rFonts w:ascii="Times New Roman" w:hAnsi="Times New Roman" w:cs="Times New Roman"/>
          <w:sz w:val="28"/>
          <w:szCs w:val="28"/>
        </w:rPr>
        <w:t>202</w:t>
      </w:r>
      <w:r w:rsidR="001F333E" w:rsidRPr="00120480">
        <w:rPr>
          <w:rFonts w:ascii="Times New Roman" w:hAnsi="Times New Roman" w:cs="Times New Roman"/>
          <w:sz w:val="28"/>
          <w:szCs w:val="28"/>
        </w:rPr>
        <w:t>4</w:t>
      </w:r>
      <w:r w:rsidR="007E0F0D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г. </w:t>
      </w:r>
      <w:r w:rsidR="00F76FA2" w:rsidRPr="00120480">
        <w:rPr>
          <w:rFonts w:ascii="Times New Roman" w:hAnsi="Times New Roman" w:cs="Times New Roman"/>
          <w:sz w:val="28"/>
          <w:szCs w:val="28"/>
        </w:rPr>
        <w:t xml:space="preserve">с привлечением денежных средств участников долевого строительства на территории края 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94BDC" w:rsidRPr="00120480">
        <w:rPr>
          <w:rFonts w:ascii="Times New Roman" w:hAnsi="Times New Roman" w:cs="Times New Roman"/>
          <w:sz w:val="28"/>
          <w:szCs w:val="28"/>
        </w:rPr>
        <w:t>строительство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960A26" w:rsidRPr="001204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393D" w:rsidRPr="001204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F333E" w:rsidRPr="001204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60A26" w:rsidRPr="001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A26" w:rsidRPr="00120480">
        <w:rPr>
          <w:rFonts w:ascii="Times New Roman" w:hAnsi="Times New Roman" w:cs="Times New Roman"/>
          <w:sz w:val="28"/>
          <w:szCs w:val="28"/>
        </w:rPr>
        <w:t>объект</w:t>
      </w:r>
      <w:r w:rsidR="001F333E" w:rsidRPr="00120480">
        <w:rPr>
          <w:rFonts w:ascii="Times New Roman" w:hAnsi="Times New Roman" w:cs="Times New Roman"/>
          <w:sz w:val="28"/>
          <w:szCs w:val="28"/>
        </w:rPr>
        <w:t>а</w:t>
      </w:r>
      <w:r w:rsidR="00960A26" w:rsidRPr="00120480">
        <w:rPr>
          <w:rFonts w:ascii="Times New Roman" w:hAnsi="Times New Roman" w:cs="Times New Roman"/>
          <w:sz w:val="28"/>
          <w:szCs w:val="28"/>
        </w:rPr>
        <w:t>,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74393D" w:rsidRPr="00120480">
        <w:rPr>
          <w:rFonts w:ascii="Times New Roman" w:hAnsi="Times New Roman" w:cs="Times New Roman"/>
          <w:sz w:val="28"/>
          <w:szCs w:val="28"/>
        </w:rPr>
        <w:t>19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1FE8" w:rsidRPr="00120480">
        <w:rPr>
          <w:rFonts w:ascii="Times New Roman" w:hAnsi="Times New Roman" w:cs="Times New Roman"/>
          <w:sz w:val="28"/>
          <w:szCs w:val="28"/>
        </w:rPr>
        <w:t>ов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 нежилого назначения </w:t>
      </w:r>
      <w:r w:rsidR="00EC2EEF" w:rsidRPr="00120480">
        <w:rPr>
          <w:rFonts w:ascii="Times New Roman" w:hAnsi="Times New Roman" w:cs="Times New Roman"/>
          <w:sz w:val="28"/>
          <w:szCs w:val="28"/>
        </w:rPr>
        <w:t>(</w:t>
      </w:r>
      <w:r w:rsidR="00D55EE5" w:rsidRPr="00120480">
        <w:rPr>
          <w:rFonts w:ascii="Times New Roman" w:hAnsi="Times New Roman" w:cs="Times New Roman"/>
          <w:sz w:val="28"/>
          <w:szCs w:val="28"/>
        </w:rPr>
        <w:t xml:space="preserve">автостоянки, </w:t>
      </w:r>
      <w:r w:rsidR="00EC2EEF" w:rsidRPr="00120480">
        <w:rPr>
          <w:rFonts w:ascii="Times New Roman" w:hAnsi="Times New Roman" w:cs="Times New Roman"/>
          <w:sz w:val="28"/>
          <w:szCs w:val="28"/>
        </w:rPr>
        <w:t>апарта</w:t>
      </w:r>
      <w:r w:rsidR="001F333E" w:rsidRPr="00120480">
        <w:rPr>
          <w:rFonts w:ascii="Times New Roman" w:hAnsi="Times New Roman" w:cs="Times New Roman"/>
          <w:sz w:val="28"/>
          <w:szCs w:val="28"/>
        </w:rPr>
        <w:t>менты, офисные здания</w:t>
      </w:r>
      <w:r w:rsidR="00EC2EEF" w:rsidRPr="00120480">
        <w:rPr>
          <w:rFonts w:ascii="Times New Roman" w:hAnsi="Times New Roman" w:cs="Times New Roman"/>
          <w:sz w:val="28"/>
          <w:szCs w:val="28"/>
        </w:rPr>
        <w:t xml:space="preserve">) 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и </w:t>
      </w:r>
      <w:r w:rsidR="001F66CC" w:rsidRPr="001204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B1FE8" w:rsidRPr="0012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4393D" w:rsidRPr="0012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B6532B" w:rsidRPr="00120480">
        <w:rPr>
          <w:rFonts w:ascii="Times New Roman" w:hAnsi="Times New Roman" w:cs="Times New Roman"/>
          <w:sz w:val="28"/>
          <w:szCs w:val="28"/>
        </w:rPr>
        <w:t>х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 дом</w:t>
      </w:r>
      <w:r w:rsidR="005973AF" w:rsidRPr="00120480">
        <w:rPr>
          <w:rFonts w:ascii="Times New Roman" w:hAnsi="Times New Roman" w:cs="Times New Roman"/>
          <w:sz w:val="28"/>
          <w:szCs w:val="28"/>
        </w:rPr>
        <w:t>ов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EC2EEF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МКД), общей жилой площадью </w:t>
      </w:r>
      <w:r w:rsidR="00E52023" w:rsidRPr="001204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393D" w:rsidRPr="00120480">
        <w:rPr>
          <w:rFonts w:ascii="Times New Roman" w:hAnsi="Times New Roman" w:cs="Times New Roman"/>
          <w:b/>
          <w:bCs/>
          <w:sz w:val="28"/>
          <w:szCs w:val="28"/>
        </w:rPr>
        <w:t> 669, 277</w:t>
      </w:r>
      <w:r w:rsidR="00120480" w:rsidRPr="001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6CC" w:rsidRPr="00120480">
        <w:rPr>
          <w:rFonts w:ascii="Times New Roman" w:hAnsi="Times New Roman" w:cs="Times New Roman"/>
          <w:sz w:val="28"/>
          <w:szCs w:val="28"/>
        </w:rPr>
        <w:t>тыс</w:t>
      </w:r>
      <w:r w:rsidR="00106C91" w:rsidRPr="00120480">
        <w:rPr>
          <w:rFonts w:ascii="Times New Roman" w:hAnsi="Times New Roman" w:cs="Times New Roman"/>
          <w:sz w:val="28"/>
          <w:szCs w:val="28"/>
        </w:rPr>
        <w:t>.</w:t>
      </w:r>
      <w:r w:rsidR="001F66CC" w:rsidRPr="00120480">
        <w:rPr>
          <w:rFonts w:ascii="Times New Roman" w:hAnsi="Times New Roman" w:cs="Times New Roman"/>
          <w:sz w:val="28"/>
          <w:szCs w:val="28"/>
        </w:rPr>
        <w:t xml:space="preserve"> кв.м.</w:t>
      </w:r>
      <w:r w:rsidR="00811D27" w:rsidRPr="00120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578F7" w14:textId="2FD5A91B" w:rsidR="001A6BE4" w:rsidRPr="00120480" w:rsidRDefault="0074393D" w:rsidP="00120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20480">
        <w:rPr>
          <w:sz w:val="28"/>
          <w:szCs w:val="28"/>
        </w:rPr>
        <w:t xml:space="preserve">За </w:t>
      </w:r>
      <w:r w:rsidR="00F727E9" w:rsidRPr="00120480">
        <w:rPr>
          <w:sz w:val="28"/>
          <w:szCs w:val="28"/>
        </w:rPr>
        <w:t>1</w:t>
      </w:r>
      <w:r w:rsidR="004F1177" w:rsidRPr="00120480">
        <w:rPr>
          <w:sz w:val="28"/>
          <w:szCs w:val="28"/>
        </w:rPr>
        <w:t xml:space="preserve"> </w:t>
      </w:r>
      <w:r w:rsidR="00F727E9" w:rsidRPr="00120480">
        <w:rPr>
          <w:sz w:val="28"/>
          <w:szCs w:val="28"/>
        </w:rPr>
        <w:t>квартал 2024г.</w:t>
      </w:r>
      <w:r w:rsidR="00120480" w:rsidRPr="00120480">
        <w:rPr>
          <w:sz w:val="28"/>
          <w:szCs w:val="28"/>
        </w:rPr>
        <w:t xml:space="preserve"> </w:t>
      </w:r>
      <w:r w:rsidR="000459F6" w:rsidRPr="00120480">
        <w:rPr>
          <w:sz w:val="28"/>
          <w:szCs w:val="28"/>
        </w:rPr>
        <w:t xml:space="preserve">в </w:t>
      </w:r>
      <w:r w:rsidR="006801FE" w:rsidRPr="00120480">
        <w:rPr>
          <w:sz w:val="28"/>
          <w:szCs w:val="28"/>
        </w:rPr>
        <w:t>установленном порядке были введены</w:t>
      </w:r>
      <w:r w:rsidR="00120480" w:rsidRPr="00120480">
        <w:rPr>
          <w:sz w:val="28"/>
          <w:szCs w:val="28"/>
        </w:rPr>
        <w:t xml:space="preserve"> </w:t>
      </w:r>
      <w:r w:rsidR="006801FE" w:rsidRPr="00120480">
        <w:rPr>
          <w:sz w:val="28"/>
          <w:szCs w:val="28"/>
        </w:rPr>
        <w:t>в эксплуатацию</w:t>
      </w:r>
      <w:r w:rsidR="00CF19AD" w:rsidRPr="00120480">
        <w:rPr>
          <w:sz w:val="28"/>
          <w:szCs w:val="28"/>
        </w:rPr>
        <w:t xml:space="preserve"> </w:t>
      </w:r>
      <w:r w:rsidR="00F727E9" w:rsidRPr="00120480">
        <w:rPr>
          <w:sz w:val="28"/>
          <w:szCs w:val="28"/>
        </w:rPr>
        <w:t>8</w:t>
      </w:r>
      <w:r w:rsidR="00CF19AD" w:rsidRPr="00120480">
        <w:rPr>
          <w:sz w:val="28"/>
          <w:szCs w:val="28"/>
        </w:rPr>
        <w:t xml:space="preserve"> МКД</w:t>
      </w:r>
      <w:r w:rsidR="00F727E9" w:rsidRPr="00120480">
        <w:rPr>
          <w:sz w:val="28"/>
          <w:szCs w:val="28"/>
        </w:rPr>
        <w:t xml:space="preserve"> финансирование строительства которых осуществлялось с привлечением денежных средств участников долевого строительства, из них</w:t>
      </w:r>
      <w:r w:rsidR="00120480" w:rsidRPr="00120480">
        <w:rPr>
          <w:sz w:val="28"/>
          <w:szCs w:val="28"/>
        </w:rPr>
        <w:t xml:space="preserve"> </w:t>
      </w:r>
      <w:r w:rsidR="00F727E9" w:rsidRPr="00120480">
        <w:rPr>
          <w:sz w:val="28"/>
          <w:szCs w:val="28"/>
        </w:rPr>
        <w:t>в марте 2 МКД</w:t>
      </w:r>
      <w:r w:rsidR="00E17953" w:rsidRPr="00120480">
        <w:rPr>
          <w:sz w:val="28"/>
          <w:szCs w:val="28"/>
        </w:rPr>
        <w:t>. О</w:t>
      </w:r>
      <w:r w:rsidR="006801FE" w:rsidRPr="00120480">
        <w:rPr>
          <w:sz w:val="28"/>
          <w:szCs w:val="28"/>
        </w:rPr>
        <w:t>дновременно застройщиками</w:t>
      </w:r>
      <w:r w:rsidR="00120480" w:rsidRPr="00120480">
        <w:rPr>
          <w:sz w:val="28"/>
          <w:szCs w:val="28"/>
        </w:rPr>
        <w:t xml:space="preserve"> </w:t>
      </w:r>
      <w:r w:rsidR="006801FE" w:rsidRPr="00120480">
        <w:rPr>
          <w:sz w:val="28"/>
          <w:szCs w:val="28"/>
        </w:rPr>
        <w:t>в ЕИСЖС</w:t>
      </w:r>
      <w:r w:rsidR="00DF2AD7" w:rsidRPr="00120480">
        <w:rPr>
          <w:sz w:val="28"/>
          <w:szCs w:val="28"/>
        </w:rPr>
        <w:t xml:space="preserve"> были</w:t>
      </w:r>
      <w:r w:rsidR="00120480" w:rsidRPr="00120480">
        <w:rPr>
          <w:sz w:val="28"/>
          <w:szCs w:val="28"/>
        </w:rPr>
        <w:t xml:space="preserve"> </w:t>
      </w:r>
      <w:bookmarkStart w:id="0" w:name="_Hlk122017028"/>
      <w:r w:rsidR="00E86868" w:rsidRPr="00120480">
        <w:rPr>
          <w:sz w:val="28"/>
          <w:szCs w:val="28"/>
        </w:rPr>
        <w:t>размещен</w:t>
      </w:r>
      <w:r w:rsidR="00494FAE" w:rsidRPr="00120480">
        <w:rPr>
          <w:sz w:val="28"/>
          <w:szCs w:val="28"/>
        </w:rPr>
        <w:t>ы</w:t>
      </w:r>
      <w:r w:rsidR="00120480" w:rsidRPr="00120480">
        <w:rPr>
          <w:sz w:val="28"/>
          <w:szCs w:val="28"/>
        </w:rPr>
        <w:t xml:space="preserve"> </w:t>
      </w:r>
      <w:r w:rsidR="00BD0AD6" w:rsidRPr="00120480">
        <w:rPr>
          <w:b/>
          <w:bCs/>
          <w:sz w:val="28"/>
          <w:szCs w:val="28"/>
        </w:rPr>
        <w:t>8</w:t>
      </w:r>
      <w:r w:rsidR="00E86868" w:rsidRPr="00120480">
        <w:rPr>
          <w:b/>
          <w:bCs/>
          <w:sz w:val="28"/>
          <w:szCs w:val="28"/>
        </w:rPr>
        <w:t xml:space="preserve"> </w:t>
      </w:r>
      <w:r w:rsidR="00E86868" w:rsidRPr="00120480">
        <w:rPr>
          <w:sz w:val="28"/>
          <w:szCs w:val="28"/>
        </w:rPr>
        <w:t>проектны</w:t>
      </w:r>
      <w:r w:rsidR="00F727E9" w:rsidRPr="00120480">
        <w:rPr>
          <w:sz w:val="28"/>
          <w:szCs w:val="28"/>
        </w:rPr>
        <w:t>х</w:t>
      </w:r>
      <w:r w:rsidR="00E86868" w:rsidRPr="00120480">
        <w:rPr>
          <w:sz w:val="28"/>
          <w:szCs w:val="28"/>
        </w:rPr>
        <w:t xml:space="preserve"> деклараци</w:t>
      </w:r>
      <w:r w:rsidR="00E17953" w:rsidRPr="00120480">
        <w:rPr>
          <w:sz w:val="28"/>
          <w:szCs w:val="28"/>
        </w:rPr>
        <w:t>й</w:t>
      </w:r>
      <w:r w:rsidR="00E86868" w:rsidRPr="00120480">
        <w:rPr>
          <w:sz w:val="28"/>
          <w:szCs w:val="28"/>
        </w:rPr>
        <w:t xml:space="preserve"> на новые объекты строительства</w:t>
      </w:r>
      <w:r w:rsidR="00E17953" w:rsidRPr="00120480">
        <w:rPr>
          <w:sz w:val="28"/>
          <w:szCs w:val="28"/>
        </w:rPr>
        <w:t xml:space="preserve">, из них </w:t>
      </w:r>
      <w:r w:rsidR="00BD0AD6" w:rsidRPr="00120480">
        <w:rPr>
          <w:b/>
          <w:bCs/>
          <w:sz w:val="28"/>
          <w:szCs w:val="28"/>
        </w:rPr>
        <w:t>7</w:t>
      </w:r>
      <w:r w:rsidR="00120480" w:rsidRPr="00120480">
        <w:rPr>
          <w:sz w:val="28"/>
          <w:szCs w:val="28"/>
        </w:rPr>
        <w:t xml:space="preserve"> </w:t>
      </w:r>
      <w:r w:rsidR="00E17953" w:rsidRPr="00120480">
        <w:rPr>
          <w:sz w:val="28"/>
          <w:szCs w:val="28"/>
        </w:rPr>
        <w:t xml:space="preserve">на </w:t>
      </w:r>
      <w:r w:rsidR="00F727E9" w:rsidRPr="00120480">
        <w:rPr>
          <w:sz w:val="28"/>
          <w:szCs w:val="28"/>
        </w:rPr>
        <w:t>МКД</w:t>
      </w:r>
      <w:r w:rsidR="00E17953" w:rsidRPr="00120480">
        <w:rPr>
          <w:sz w:val="28"/>
          <w:szCs w:val="28"/>
        </w:rPr>
        <w:t xml:space="preserve"> и</w:t>
      </w:r>
      <w:r w:rsidR="00120480" w:rsidRPr="00120480">
        <w:rPr>
          <w:sz w:val="28"/>
          <w:szCs w:val="28"/>
        </w:rPr>
        <w:t xml:space="preserve"> </w:t>
      </w:r>
      <w:r w:rsidR="00E17953" w:rsidRPr="00120480">
        <w:rPr>
          <w:sz w:val="28"/>
          <w:szCs w:val="28"/>
        </w:rPr>
        <w:t xml:space="preserve">1 автостоянка, что на </w:t>
      </w:r>
      <w:r w:rsidR="00052E7D" w:rsidRPr="00120480">
        <w:rPr>
          <w:sz w:val="28"/>
          <w:szCs w:val="28"/>
        </w:rPr>
        <w:t>6</w:t>
      </w:r>
      <w:r w:rsidR="00E17953" w:rsidRPr="00120480">
        <w:rPr>
          <w:sz w:val="28"/>
          <w:szCs w:val="28"/>
        </w:rPr>
        <w:t xml:space="preserve"> МКД меньше по сравнению с 1 кварталом прошлого года.</w:t>
      </w:r>
      <w:r w:rsidR="00120480" w:rsidRPr="00120480">
        <w:rPr>
          <w:sz w:val="28"/>
          <w:szCs w:val="28"/>
        </w:rPr>
        <w:t xml:space="preserve"> </w:t>
      </w:r>
      <w:r w:rsidR="00E17953" w:rsidRPr="00120480">
        <w:rPr>
          <w:sz w:val="28"/>
          <w:szCs w:val="28"/>
        </w:rPr>
        <w:t>Уменьшение выхода на рынок новых проектов строительства в 2024г. связано</w:t>
      </w:r>
      <w:r w:rsidR="00120480" w:rsidRPr="00120480">
        <w:rPr>
          <w:sz w:val="28"/>
          <w:szCs w:val="28"/>
        </w:rPr>
        <w:t xml:space="preserve"> </w:t>
      </w:r>
      <w:r w:rsidR="00E17953" w:rsidRPr="00120480">
        <w:rPr>
          <w:sz w:val="28"/>
          <w:szCs w:val="28"/>
        </w:rPr>
        <w:t xml:space="preserve">с изменением подходов к планированию застройки территорий </w:t>
      </w:r>
      <w:r w:rsidR="00052E7D" w:rsidRPr="00120480">
        <w:rPr>
          <w:sz w:val="28"/>
          <w:szCs w:val="28"/>
        </w:rPr>
        <w:t xml:space="preserve">в </w:t>
      </w:r>
      <w:proofErr w:type="spellStart"/>
      <w:r w:rsidR="00E17953" w:rsidRPr="00120480">
        <w:rPr>
          <w:sz w:val="28"/>
          <w:szCs w:val="28"/>
        </w:rPr>
        <w:t>г.Красноярск</w:t>
      </w:r>
      <w:r w:rsidR="00052E7D" w:rsidRPr="00120480">
        <w:rPr>
          <w:sz w:val="28"/>
          <w:szCs w:val="28"/>
        </w:rPr>
        <w:t>е</w:t>
      </w:r>
      <w:proofErr w:type="spellEnd"/>
      <w:r w:rsidR="00120480" w:rsidRPr="00120480">
        <w:rPr>
          <w:sz w:val="28"/>
          <w:szCs w:val="28"/>
        </w:rPr>
        <w:t xml:space="preserve"> </w:t>
      </w:r>
      <w:r w:rsidR="00E17953" w:rsidRPr="00120480">
        <w:rPr>
          <w:sz w:val="28"/>
          <w:szCs w:val="28"/>
        </w:rPr>
        <w:t xml:space="preserve">в части процента интенсивности жилой застройки и </w:t>
      </w:r>
      <w:r w:rsidR="001A6BE4" w:rsidRPr="00120480">
        <w:rPr>
          <w:sz w:val="28"/>
          <w:szCs w:val="28"/>
        </w:rPr>
        <w:t>обеспеченности соответствующей территории объектами коммунальной, транспортной, социальной инфраструктурой</w:t>
      </w:r>
      <w:r w:rsidR="0075666C" w:rsidRPr="00120480">
        <w:rPr>
          <w:sz w:val="28"/>
          <w:szCs w:val="28"/>
        </w:rPr>
        <w:t>, а также и тем, что в конце 2023г. на рынок было выведено</w:t>
      </w:r>
      <w:r w:rsidR="009A4CFC" w:rsidRPr="00120480">
        <w:rPr>
          <w:sz w:val="28"/>
          <w:szCs w:val="28"/>
        </w:rPr>
        <w:t xml:space="preserve"> достаточно</w:t>
      </w:r>
      <w:r w:rsidR="0075666C" w:rsidRPr="00120480">
        <w:rPr>
          <w:sz w:val="28"/>
          <w:szCs w:val="28"/>
        </w:rPr>
        <w:t xml:space="preserve"> большое количество новых проектов строительства</w:t>
      </w:r>
      <w:r w:rsidR="00120480" w:rsidRPr="00120480">
        <w:rPr>
          <w:sz w:val="28"/>
          <w:szCs w:val="28"/>
        </w:rPr>
        <w:t xml:space="preserve"> </w:t>
      </w:r>
      <w:r w:rsidR="0075666C" w:rsidRPr="00120480">
        <w:rPr>
          <w:sz w:val="28"/>
          <w:szCs w:val="28"/>
        </w:rPr>
        <w:t>(4 квартал 2023г. -</w:t>
      </w:r>
      <w:r w:rsidR="00120480" w:rsidRPr="00120480">
        <w:rPr>
          <w:sz w:val="28"/>
          <w:szCs w:val="28"/>
        </w:rPr>
        <w:t xml:space="preserve"> </w:t>
      </w:r>
      <w:r w:rsidR="0075666C" w:rsidRPr="00120480">
        <w:rPr>
          <w:sz w:val="28"/>
          <w:szCs w:val="28"/>
        </w:rPr>
        <w:t>36 МКД)</w:t>
      </w:r>
      <w:r w:rsidRPr="00120480">
        <w:rPr>
          <w:sz w:val="28"/>
          <w:szCs w:val="28"/>
        </w:rPr>
        <w:t>.</w:t>
      </w:r>
    </w:p>
    <w:p w14:paraId="395D8BC7" w14:textId="77777777" w:rsidR="00120480" w:rsidRDefault="00120480" w:rsidP="00120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340EC43" w14:textId="77777777" w:rsidR="00120480" w:rsidRPr="00520274" w:rsidRDefault="00120480" w:rsidP="00120480">
      <w:pPr>
        <w:pStyle w:val="af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60BFD">
        <w:rPr>
          <w:rFonts w:ascii="Times New Roman" w:hAnsi="Times New Roman" w:cs="Times New Roman"/>
          <w:b/>
          <w:bCs/>
          <w:sz w:val="27"/>
          <w:szCs w:val="27"/>
        </w:rPr>
        <w:t xml:space="preserve">Изменение средней </w:t>
      </w:r>
      <w:r w:rsidRPr="00360BFD">
        <w:rPr>
          <w:rFonts w:ascii="Times New Roman" w:hAnsi="Times New Roman" w:cs="Times New Roman"/>
          <w:b/>
          <w:bCs/>
          <w:sz w:val="27"/>
          <w:szCs w:val="27"/>
          <w:lang w:val="en-US"/>
        </w:rPr>
        <w:t>S</w:t>
      </w:r>
      <w:r w:rsidRPr="00360BFD">
        <w:rPr>
          <w:rFonts w:ascii="Times New Roman" w:hAnsi="Times New Roman" w:cs="Times New Roman"/>
          <w:b/>
          <w:bCs/>
          <w:sz w:val="27"/>
          <w:szCs w:val="27"/>
        </w:rPr>
        <w:t xml:space="preserve"> жилья по ДДУ, (кв.м.)</w:t>
      </w:r>
    </w:p>
    <w:p w14:paraId="15AF8718" w14:textId="77777777" w:rsidR="00120480" w:rsidRDefault="00120480" w:rsidP="00120480">
      <w:pPr>
        <w:jc w:val="both"/>
        <w:rPr>
          <w:sz w:val="28"/>
          <w:szCs w:val="28"/>
        </w:rPr>
      </w:pPr>
      <w:bookmarkStart w:id="1" w:name="_Hlk122016692"/>
      <w:bookmarkEnd w:id="0"/>
      <w:r w:rsidRPr="00120480">
        <w:rPr>
          <w:noProof/>
          <w:sz w:val="28"/>
          <w:szCs w:val="28"/>
        </w:rPr>
        <w:drawing>
          <wp:inline distT="0" distB="0" distL="0" distR="0" wp14:anchorId="5AF6361F" wp14:editId="1B281509">
            <wp:extent cx="5939790" cy="3227705"/>
            <wp:effectExtent l="0" t="0" r="3810" b="10795"/>
            <wp:docPr id="34040729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4DD26C8-F526-41C3-9363-679229D7EF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D2CE07" w14:textId="67327496" w:rsidR="00645D2E" w:rsidRPr="00120480" w:rsidRDefault="00F97AE7" w:rsidP="00120480">
      <w:pPr>
        <w:ind w:firstLine="567"/>
        <w:jc w:val="both"/>
        <w:rPr>
          <w:sz w:val="28"/>
          <w:szCs w:val="28"/>
        </w:rPr>
      </w:pPr>
      <w:r w:rsidRPr="00120480">
        <w:rPr>
          <w:sz w:val="28"/>
          <w:szCs w:val="28"/>
        </w:rPr>
        <w:lastRenderedPageBreak/>
        <w:t>Количество действующих (неисполненных) договоров участия в долевом строительстве (далее – ДДУ)</w:t>
      </w:r>
      <w:r w:rsidR="00645D2E" w:rsidRPr="00120480">
        <w:rPr>
          <w:sz w:val="28"/>
          <w:szCs w:val="28"/>
        </w:rPr>
        <w:t>, заключенных в отношении жилых помещений</w:t>
      </w:r>
      <w:r w:rsidR="00120480"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 xml:space="preserve">по итогам </w:t>
      </w:r>
      <w:r w:rsidR="004F1177" w:rsidRPr="00120480">
        <w:rPr>
          <w:sz w:val="28"/>
          <w:szCs w:val="28"/>
        </w:rPr>
        <w:t xml:space="preserve">марта </w:t>
      </w:r>
      <w:r w:rsidR="00F770F9" w:rsidRPr="00120480">
        <w:rPr>
          <w:sz w:val="28"/>
          <w:szCs w:val="28"/>
        </w:rPr>
        <w:t>у</w:t>
      </w:r>
      <w:r w:rsidR="0074393D" w:rsidRPr="00120480">
        <w:rPr>
          <w:sz w:val="28"/>
          <w:szCs w:val="28"/>
        </w:rPr>
        <w:t>величилось</w:t>
      </w:r>
      <w:r w:rsidR="00F770F9" w:rsidRPr="00120480">
        <w:rPr>
          <w:sz w:val="28"/>
          <w:szCs w:val="28"/>
        </w:rPr>
        <w:t xml:space="preserve"> на </w:t>
      </w:r>
      <w:r w:rsidR="0074393D" w:rsidRPr="00120480">
        <w:rPr>
          <w:sz w:val="28"/>
          <w:szCs w:val="28"/>
        </w:rPr>
        <w:t xml:space="preserve">4,3 </w:t>
      </w:r>
      <w:r w:rsidR="00F770F9" w:rsidRPr="00120480">
        <w:rPr>
          <w:sz w:val="28"/>
          <w:szCs w:val="28"/>
        </w:rPr>
        <w:t>% и</w:t>
      </w:r>
      <w:r w:rsidR="00120480"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>составило</w:t>
      </w:r>
      <w:r w:rsidR="0074393D" w:rsidRPr="00120480">
        <w:rPr>
          <w:sz w:val="28"/>
          <w:szCs w:val="28"/>
        </w:rPr>
        <w:t xml:space="preserve"> </w:t>
      </w:r>
      <w:r w:rsidR="0074393D" w:rsidRPr="00120480">
        <w:rPr>
          <w:b/>
          <w:bCs/>
          <w:sz w:val="28"/>
          <w:szCs w:val="28"/>
        </w:rPr>
        <w:t>10 414</w:t>
      </w:r>
      <w:r w:rsidR="0074393D" w:rsidRPr="00120480">
        <w:rPr>
          <w:sz w:val="28"/>
          <w:szCs w:val="28"/>
        </w:rPr>
        <w:t xml:space="preserve"> ДДУ (в феврале -</w:t>
      </w:r>
      <w:r w:rsidR="00120480" w:rsidRPr="00120480">
        <w:rPr>
          <w:sz w:val="28"/>
          <w:szCs w:val="28"/>
        </w:rPr>
        <w:t xml:space="preserve"> </w:t>
      </w:r>
      <w:r w:rsidR="00F770F9" w:rsidRPr="00120480">
        <w:rPr>
          <w:sz w:val="28"/>
          <w:szCs w:val="28"/>
        </w:rPr>
        <w:t>9962</w:t>
      </w:r>
      <w:r w:rsidR="0074393D" w:rsidRPr="00120480">
        <w:rPr>
          <w:sz w:val="28"/>
          <w:szCs w:val="28"/>
        </w:rPr>
        <w:t>)</w:t>
      </w:r>
      <w:r w:rsidRPr="00120480">
        <w:rPr>
          <w:b/>
          <w:bCs/>
          <w:sz w:val="28"/>
          <w:szCs w:val="28"/>
        </w:rPr>
        <w:t xml:space="preserve"> </w:t>
      </w:r>
      <w:r w:rsidRPr="00120480">
        <w:rPr>
          <w:sz w:val="28"/>
          <w:szCs w:val="28"/>
        </w:rPr>
        <w:t>по которым</w:t>
      </w:r>
      <w:r w:rsidR="00120480"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 xml:space="preserve">реализовано </w:t>
      </w:r>
      <w:r w:rsidR="0074393D" w:rsidRPr="00120480">
        <w:rPr>
          <w:b/>
          <w:bCs/>
          <w:sz w:val="28"/>
          <w:szCs w:val="28"/>
        </w:rPr>
        <w:t>588,652</w:t>
      </w:r>
      <w:r w:rsidR="0074393D" w:rsidRPr="00120480">
        <w:rPr>
          <w:sz w:val="28"/>
          <w:szCs w:val="28"/>
        </w:rPr>
        <w:t xml:space="preserve"> </w:t>
      </w:r>
      <w:proofErr w:type="spellStart"/>
      <w:r w:rsidR="0074393D" w:rsidRPr="00120480">
        <w:rPr>
          <w:sz w:val="28"/>
          <w:szCs w:val="28"/>
        </w:rPr>
        <w:t>тыс.кв.м</w:t>
      </w:r>
      <w:proofErr w:type="spellEnd"/>
      <w:r w:rsidR="0074393D"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 xml:space="preserve">Процент реализованной </w:t>
      </w:r>
      <w:r w:rsidR="00645D2E" w:rsidRPr="00120480">
        <w:rPr>
          <w:sz w:val="28"/>
          <w:szCs w:val="28"/>
        </w:rPr>
        <w:t>жилой</w:t>
      </w:r>
      <w:r w:rsidR="00F770F9"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>площади</w:t>
      </w:r>
      <w:r w:rsidR="00007DF1"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 xml:space="preserve">от всей запроектированной </w:t>
      </w:r>
      <w:r w:rsidR="00F770F9" w:rsidRPr="00120480">
        <w:rPr>
          <w:sz w:val="28"/>
          <w:szCs w:val="28"/>
        </w:rPr>
        <w:t xml:space="preserve">жилой </w:t>
      </w:r>
      <w:r w:rsidRPr="00120480">
        <w:rPr>
          <w:sz w:val="28"/>
          <w:szCs w:val="28"/>
        </w:rPr>
        <w:t>площади в строящихся многоквартирных домах</w:t>
      </w:r>
      <w:r w:rsidR="00356494" w:rsidRPr="00120480">
        <w:rPr>
          <w:sz w:val="28"/>
          <w:szCs w:val="28"/>
        </w:rPr>
        <w:t xml:space="preserve">, </w:t>
      </w:r>
      <w:r w:rsidRPr="00120480">
        <w:rPr>
          <w:sz w:val="28"/>
          <w:szCs w:val="28"/>
        </w:rPr>
        <w:t>в зависимости от выхода на рынок новых проектов строительства и убытием в</w:t>
      </w:r>
      <w:r w:rsidR="00494FAE" w:rsidRPr="00120480">
        <w:rPr>
          <w:sz w:val="28"/>
          <w:szCs w:val="28"/>
        </w:rPr>
        <w:t>веденных</w:t>
      </w:r>
      <w:r w:rsidRPr="00120480">
        <w:rPr>
          <w:sz w:val="28"/>
          <w:szCs w:val="28"/>
        </w:rPr>
        <w:t xml:space="preserve"> </w:t>
      </w:r>
      <w:r w:rsidR="00494FAE" w:rsidRPr="00120480">
        <w:rPr>
          <w:sz w:val="28"/>
          <w:szCs w:val="28"/>
        </w:rPr>
        <w:t xml:space="preserve">объектов </w:t>
      </w:r>
      <w:r w:rsidRPr="00120480">
        <w:rPr>
          <w:sz w:val="28"/>
          <w:szCs w:val="28"/>
        </w:rPr>
        <w:t>в эксплуатацию</w:t>
      </w:r>
      <w:r w:rsidR="0074393D" w:rsidRPr="00120480">
        <w:rPr>
          <w:sz w:val="28"/>
          <w:szCs w:val="28"/>
        </w:rPr>
        <w:t xml:space="preserve"> увеличился</w:t>
      </w:r>
      <w:r w:rsidR="00007DF1" w:rsidRPr="00120480">
        <w:rPr>
          <w:sz w:val="28"/>
          <w:szCs w:val="28"/>
        </w:rPr>
        <w:t xml:space="preserve"> по итогам марта</w:t>
      </w:r>
      <w:r w:rsidR="0074393D" w:rsidRPr="00120480">
        <w:rPr>
          <w:sz w:val="28"/>
          <w:szCs w:val="28"/>
        </w:rPr>
        <w:t xml:space="preserve"> на</w:t>
      </w:r>
      <w:r w:rsidR="00120480" w:rsidRPr="00120480">
        <w:rPr>
          <w:sz w:val="28"/>
          <w:szCs w:val="28"/>
        </w:rPr>
        <w:t xml:space="preserve"> </w:t>
      </w:r>
      <w:r w:rsidR="00007DF1" w:rsidRPr="00120480">
        <w:rPr>
          <w:sz w:val="28"/>
          <w:szCs w:val="28"/>
        </w:rPr>
        <w:t>2</w:t>
      </w:r>
      <w:r w:rsidR="0074393D" w:rsidRPr="00120480">
        <w:rPr>
          <w:sz w:val="28"/>
          <w:szCs w:val="28"/>
        </w:rPr>
        <w:t xml:space="preserve"> % и</w:t>
      </w:r>
      <w:r w:rsidRPr="00120480">
        <w:rPr>
          <w:sz w:val="28"/>
          <w:szCs w:val="28"/>
        </w:rPr>
        <w:t xml:space="preserve"> </w:t>
      </w:r>
      <w:r w:rsidR="00356494" w:rsidRPr="00120480">
        <w:rPr>
          <w:sz w:val="28"/>
          <w:szCs w:val="28"/>
        </w:rPr>
        <w:t xml:space="preserve">составил </w:t>
      </w:r>
      <w:r w:rsidR="003106B7" w:rsidRPr="00120480">
        <w:rPr>
          <w:b/>
          <w:bCs/>
          <w:sz w:val="28"/>
          <w:szCs w:val="28"/>
        </w:rPr>
        <w:t>3</w:t>
      </w:r>
      <w:r w:rsidR="00007DF1" w:rsidRPr="00120480">
        <w:rPr>
          <w:b/>
          <w:bCs/>
          <w:sz w:val="28"/>
          <w:szCs w:val="28"/>
        </w:rPr>
        <w:t>5</w:t>
      </w:r>
      <w:r w:rsidR="00F770F9" w:rsidRPr="00120480">
        <w:rPr>
          <w:b/>
          <w:bCs/>
          <w:sz w:val="28"/>
          <w:szCs w:val="28"/>
        </w:rPr>
        <w:t xml:space="preserve">,3 </w:t>
      </w:r>
      <w:r w:rsidR="00356494" w:rsidRPr="00120480">
        <w:rPr>
          <w:sz w:val="28"/>
          <w:szCs w:val="28"/>
        </w:rPr>
        <w:t>% .</w:t>
      </w:r>
      <w:r w:rsidR="00120480" w:rsidRPr="00120480">
        <w:rPr>
          <w:sz w:val="28"/>
          <w:szCs w:val="28"/>
        </w:rPr>
        <w:t xml:space="preserve"> </w:t>
      </w:r>
    </w:p>
    <w:p w14:paraId="369E5C84" w14:textId="20F81AFF" w:rsidR="00F97AE7" w:rsidRPr="00120480" w:rsidRDefault="00645D2E" w:rsidP="00120480">
      <w:pPr>
        <w:ind w:firstLine="567"/>
        <w:jc w:val="both"/>
        <w:rPr>
          <w:sz w:val="28"/>
          <w:szCs w:val="28"/>
        </w:rPr>
      </w:pPr>
      <w:r w:rsidRPr="00120480">
        <w:rPr>
          <w:sz w:val="28"/>
          <w:szCs w:val="28"/>
        </w:rPr>
        <w:t>В отношении нежилых помещений</w:t>
      </w:r>
      <w:r w:rsidR="00691D2B" w:rsidRPr="00120480">
        <w:rPr>
          <w:sz w:val="28"/>
          <w:szCs w:val="28"/>
        </w:rPr>
        <w:t>, включая машино-места,</w:t>
      </w:r>
      <w:r w:rsidRPr="00120480">
        <w:rPr>
          <w:sz w:val="28"/>
          <w:szCs w:val="28"/>
        </w:rPr>
        <w:t xml:space="preserve"> количество действующих (</w:t>
      </w:r>
      <w:r w:rsidR="0046724D" w:rsidRPr="00120480">
        <w:rPr>
          <w:sz w:val="28"/>
          <w:szCs w:val="28"/>
        </w:rPr>
        <w:t>заключенных</w:t>
      </w:r>
      <w:r w:rsidRPr="00120480">
        <w:rPr>
          <w:sz w:val="28"/>
          <w:szCs w:val="28"/>
        </w:rPr>
        <w:t>) ДДУ</w:t>
      </w:r>
      <w:r w:rsidR="0046724D" w:rsidRPr="00120480">
        <w:rPr>
          <w:sz w:val="28"/>
          <w:szCs w:val="28"/>
        </w:rPr>
        <w:t xml:space="preserve"> возросло на 3,7% и</w:t>
      </w:r>
      <w:r w:rsidR="00120480"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 xml:space="preserve">составило </w:t>
      </w:r>
      <w:r w:rsidR="0046724D" w:rsidRPr="00120480">
        <w:rPr>
          <w:b/>
          <w:bCs/>
          <w:sz w:val="28"/>
          <w:szCs w:val="28"/>
        </w:rPr>
        <w:t>1452</w:t>
      </w:r>
      <w:r w:rsidR="0046724D" w:rsidRPr="00120480">
        <w:rPr>
          <w:sz w:val="28"/>
          <w:szCs w:val="28"/>
        </w:rPr>
        <w:t xml:space="preserve"> (в феврале -</w:t>
      </w:r>
      <w:r w:rsidRPr="00120480">
        <w:rPr>
          <w:sz w:val="28"/>
          <w:szCs w:val="28"/>
        </w:rPr>
        <w:t>1399</w:t>
      </w:r>
      <w:r w:rsidR="0046724D" w:rsidRPr="00120480">
        <w:rPr>
          <w:b/>
          <w:bCs/>
          <w:sz w:val="28"/>
          <w:szCs w:val="28"/>
        </w:rPr>
        <w:t>)</w:t>
      </w:r>
      <w:r w:rsidRPr="00120480">
        <w:rPr>
          <w:b/>
          <w:bCs/>
          <w:sz w:val="28"/>
          <w:szCs w:val="28"/>
        </w:rPr>
        <w:t>,</w:t>
      </w:r>
      <w:r w:rsidRPr="00120480">
        <w:rPr>
          <w:sz w:val="28"/>
          <w:szCs w:val="28"/>
        </w:rPr>
        <w:t xml:space="preserve"> общей площадью </w:t>
      </w:r>
      <w:r w:rsidRPr="00120480">
        <w:rPr>
          <w:b/>
          <w:bCs/>
          <w:sz w:val="28"/>
          <w:szCs w:val="28"/>
        </w:rPr>
        <w:t>6</w:t>
      </w:r>
      <w:r w:rsidR="0046724D" w:rsidRPr="00120480">
        <w:rPr>
          <w:b/>
          <w:bCs/>
          <w:sz w:val="28"/>
          <w:szCs w:val="28"/>
        </w:rPr>
        <w:t>7</w:t>
      </w:r>
      <w:r w:rsidRPr="00120480">
        <w:rPr>
          <w:b/>
          <w:bCs/>
          <w:sz w:val="28"/>
          <w:szCs w:val="28"/>
        </w:rPr>
        <w:t>,</w:t>
      </w:r>
      <w:r w:rsidR="0046724D" w:rsidRPr="00120480">
        <w:rPr>
          <w:b/>
          <w:bCs/>
          <w:sz w:val="28"/>
          <w:szCs w:val="28"/>
        </w:rPr>
        <w:t>467</w:t>
      </w:r>
      <w:r w:rsidRPr="00120480">
        <w:rPr>
          <w:sz w:val="28"/>
          <w:szCs w:val="28"/>
        </w:rPr>
        <w:t xml:space="preserve"> </w:t>
      </w:r>
      <w:proofErr w:type="spellStart"/>
      <w:r w:rsidRPr="00120480">
        <w:rPr>
          <w:sz w:val="28"/>
          <w:szCs w:val="28"/>
        </w:rPr>
        <w:t>тыс.</w:t>
      </w:r>
      <w:proofErr w:type="gramStart"/>
      <w:r w:rsidRPr="00120480">
        <w:rPr>
          <w:sz w:val="28"/>
          <w:szCs w:val="28"/>
        </w:rPr>
        <w:t>кв.м</w:t>
      </w:r>
      <w:proofErr w:type="spellEnd"/>
      <w:proofErr w:type="gramEnd"/>
      <w:r w:rsidRPr="00120480">
        <w:rPr>
          <w:sz w:val="28"/>
          <w:szCs w:val="28"/>
        </w:rPr>
        <w:t xml:space="preserve">, суммарная цена заключенных ДДУ на нежилые помещения составила </w:t>
      </w:r>
      <w:r w:rsidRPr="00120480">
        <w:rPr>
          <w:b/>
          <w:bCs/>
          <w:sz w:val="28"/>
          <w:szCs w:val="28"/>
        </w:rPr>
        <w:t>5</w:t>
      </w:r>
      <w:r w:rsidR="0046724D" w:rsidRPr="00120480">
        <w:rPr>
          <w:b/>
          <w:bCs/>
          <w:sz w:val="28"/>
          <w:szCs w:val="28"/>
        </w:rPr>
        <w:t> 763,9</w:t>
      </w:r>
      <w:r w:rsidRPr="00120480">
        <w:rPr>
          <w:sz w:val="28"/>
          <w:szCs w:val="28"/>
        </w:rPr>
        <w:t xml:space="preserve"> </w:t>
      </w:r>
      <w:proofErr w:type="spellStart"/>
      <w:r w:rsidRPr="00120480">
        <w:rPr>
          <w:sz w:val="28"/>
          <w:szCs w:val="28"/>
        </w:rPr>
        <w:t>млн.рублей</w:t>
      </w:r>
      <w:proofErr w:type="spellEnd"/>
      <w:r w:rsidRPr="00120480">
        <w:rPr>
          <w:sz w:val="28"/>
          <w:szCs w:val="28"/>
        </w:rPr>
        <w:t>.</w:t>
      </w:r>
      <w:r w:rsidR="00F0174A"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 xml:space="preserve">Средняя цена </w:t>
      </w:r>
      <w:r w:rsidR="001817DC" w:rsidRPr="00120480">
        <w:rPr>
          <w:sz w:val="28"/>
          <w:szCs w:val="28"/>
        </w:rPr>
        <w:t xml:space="preserve">реализации </w:t>
      </w:r>
      <w:r w:rsidRPr="00120480">
        <w:rPr>
          <w:sz w:val="28"/>
          <w:szCs w:val="28"/>
        </w:rPr>
        <w:t>квадратного метра</w:t>
      </w:r>
      <w:r w:rsidR="00120480" w:rsidRPr="00120480">
        <w:rPr>
          <w:sz w:val="28"/>
          <w:szCs w:val="28"/>
        </w:rPr>
        <w:t xml:space="preserve"> </w:t>
      </w:r>
      <w:r w:rsidRPr="00120480">
        <w:rPr>
          <w:sz w:val="28"/>
          <w:szCs w:val="28"/>
        </w:rPr>
        <w:t>нежилых помещений</w:t>
      </w:r>
      <w:r w:rsidR="00120480" w:rsidRPr="00120480">
        <w:rPr>
          <w:sz w:val="28"/>
          <w:szCs w:val="28"/>
        </w:rPr>
        <w:t xml:space="preserve"> </w:t>
      </w:r>
      <w:r w:rsidR="0046724D" w:rsidRPr="00120480">
        <w:rPr>
          <w:sz w:val="28"/>
          <w:szCs w:val="28"/>
        </w:rPr>
        <w:t xml:space="preserve">выросла на 1% по сравнению с февралем и </w:t>
      </w:r>
      <w:r w:rsidRPr="00120480">
        <w:rPr>
          <w:sz w:val="28"/>
          <w:szCs w:val="28"/>
        </w:rPr>
        <w:t>составила 8</w:t>
      </w:r>
      <w:r w:rsidR="0046724D" w:rsidRPr="00120480">
        <w:rPr>
          <w:sz w:val="28"/>
          <w:szCs w:val="28"/>
        </w:rPr>
        <w:t>5</w:t>
      </w:r>
      <w:r w:rsidRPr="00120480">
        <w:rPr>
          <w:sz w:val="28"/>
          <w:szCs w:val="28"/>
        </w:rPr>
        <w:t>,</w:t>
      </w:r>
      <w:r w:rsidR="0046724D" w:rsidRPr="00120480">
        <w:rPr>
          <w:sz w:val="28"/>
          <w:szCs w:val="28"/>
        </w:rPr>
        <w:t>4</w:t>
      </w:r>
      <w:r w:rsidRPr="00120480">
        <w:rPr>
          <w:sz w:val="28"/>
          <w:szCs w:val="28"/>
        </w:rPr>
        <w:t xml:space="preserve"> </w:t>
      </w:r>
      <w:proofErr w:type="spellStart"/>
      <w:proofErr w:type="gramStart"/>
      <w:r w:rsidRPr="00120480">
        <w:rPr>
          <w:sz w:val="28"/>
          <w:szCs w:val="28"/>
        </w:rPr>
        <w:t>тыс.рублей</w:t>
      </w:r>
      <w:proofErr w:type="spellEnd"/>
      <w:proofErr w:type="gramEnd"/>
      <w:r w:rsidRPr="00120480">
        <w:rPr>
          <w:sz w:val="28"/>
          <w:szCs w:val="28"/>
        </w:rPr>
        <w:t>.</w:t>
      </w:r>
      <w:r w:rsidR="001817DC" w:rsidRPr="00120480">
        <w:rPr>
          <w:sz w:val="28"/>
          <w:szCs w:val="28"/>
        </w:rPr>
        <w:t xml:space="preserve"> Учитывая, что суммарная площадь всех запроектированных нежилых помещений составляет </w:t>
      </w:r>
      <w:r w:rsidR="001817DC" w:rsidRPr="00120480">
        <w:rPr>
          <w:b/>
          <w:bCs/>
          <w:sz w:val="28"/>
          <w:szCs w:val="28"/>
        </w:rPr>
        <w:t>27</w:t>
      </w:r>
      <w:r w:rsidR="0046724D" w:rsidRPr="00120480">
        <w:rPr>
          <w:b/>
          <w:bCs/>
          <w:sz w:val="28"/>
          <w:szCs w:val="28"/>
        </w:rPr>
        <w:t>8</w:t>
      </w:r>
      <w:r w:rsidR="001817DC" w:rsidRPr="00120480">
        <w:rPr>
          <w:b/>
          <w:bCs/>
          <w:sz w:val="28"/>
          <w:szCs w:val="28"/>
        </w:rPr>
        <w:t>,</w:t>
      </w:r>
      <w:r w:rsidR="0046724D" w:rsidRPr="00120480">
        <w:rPr>
          <w:b/>
          <w:bCs/>
          <w:sz w:val="28"/>
          <w:szCs w:val="28"/>
        </w:rPr>
        <w:t>495</w:t>
      </w:r>
      <w:r w:rsidR="001817DC" w:rsidRPr="00120480">
        <w:rPr>
          <w:sz w:val="28"/>
          <w:szCs w:val="28"/>
        </w:rPr>
        <w:t xml:space="preserve"> </w:t>
      </w:r>
      <w:proofErr w:type="spellStart"/>
      <w:r w:rsidR="001817DC" w:rsidRPr="00120480">
        <w:rPr>
          <w:sz w:val="28"/>
          <w:szCs w:val="28"/>
        </w:rPr>
        <w:t>тыс.кв.м</w:t>
      </w:r>
      <w:proofErr w:type="spellEnd"/>
      <w:r w:rsidR="001817DC" w:rsidRPr="00120480">
        <w:rPr>
          <w:sz w:val="28"/>
          <w:szCs w:val="28"/>
        </w:rPr>
        <w:t xml:space="preserve">., процент реализованной нежилой площади составил </w:t>
      </w:r>
      <w:r w:rsidR="001817DC" w:rsidRPr="00120480">
        <w:rPr>
          <w:b/>
          <w:bCs/>
          <w:sz w:val="28"/>
          <w:szCs w:val="28"/>
        </w:rPr>
        <w:t>24</w:t>
      </w:r>
      <w:r w:rsidR="0046724D" w:rsidRPr="00120480">
        <w:rPr>
          <w:b/>
          <w:bCs/>
          <w:sz w:val="28"/>
          <w:szCs w:val="28"/>
        </w:rPr>
        <w:t>,2</w:t>
      </w:r>
      <w:r w:rsidR="001817DC" w:rsidRPr="00120480">
        <w:rPr>
          <w:sz w:val="28"/>
          <w:szCs w:val="28"/>
        </w:rPr>
        <w:t>%.</w:t>
      </w:r>
    </w:p>
    <w:p w14:paraId="69A98779" w14:textId="076FA681" w:rsidR="00947EBC" w:rsidRPr="00120480" w:rsidRDefault="0067555C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80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364148" w:rsidRPr="00120480">
        <w:rPr>
          <w:rFonts w:ascii="Times New Roman" w:hAnsi="Times New Roman" w:cs="Times New Roman"/>
          <w:sz w:val="28"/>
          <w:szCs w:val="28"/>
        </w:rPr>
        <w:t>з</w:t>
      </w:r>
      <w:r w:rsidRPr="00120480">
        <w:rPr>
          <w:rFonts w:ascii="Times New Roman" w:hAnsi="Times New Roman" w:cs="Times New Roman"/>
          <w:sz w:val="28"/>
          <w:szCs w:val="28"/>
        </w:rPr>
        <w:t>начение площади реализуемых квартир</w:t>
      </w:r>
      <w:r w:rsidR="00154A15" w:rsidRPr="00120480">
        <w:rPr>
          <w:rFonts w:ascii="Times New Roman" w:hAnsi="Times New Roman" w:cs="Times New Roman"/>
          <w:sz w:val="28"/>
          <w:szCs w:val="28"/>
        </w:rPr>
        <w:t xml:space="preserve"> по ДДУ</w:t>
      </w:r>
      <w:r w:rsidR="005E42DD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9F6CDE" w:rsidRPr="00120480">
        <w:rPr>
          <w:rFonts w:ascii="Times New Roman" w:hAnsi="Times New Roman" w:cs="Times New Roman"/>
          <w:sz w:val="28"/>
          <w:szCs w:val="28"/>
        </w:rPr>
        <w:t xml:space="preserve">в </w:t>
      </w:r>
      <w:r w:rsidR="0095429F" w:rsidRPr="00120480">
        <w:rPr>
          <w:rFonts w:ascii="Times New Roman" w:hAnsi="Times New Roman" w:cs="Times New Roman"/>
          <w:sz w:val="28"/>
          <w:szCs w:val="28"/>
        </w:rPr>
        <w:t xml:space="preserve">марте 2024г. продолжило рост </w:t>
      </w:r>
      <w:r w:rsidR="00645D2E" w:rsidRPr="00120480">
        <w:rPr>
          <w:rFonts w:ascii="Times New Roman" w:hAnsi="Times New Roman" w:cs="Times New Roman"/>
          <w:sz w:val="28"/>
          <w:szCs w:val="28"/>
        </w:rPr>
        <w:t>и</w:t>
      </w:r>
      <w:r w:rsidR="007E6D2C" w:rsidRPr="00120480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95429F" w:rsidRPr="00120480">
        <w:rPr>
          <w:rFonts w:ascii="Times New Roman" w:hAnsi="Times New Roman" w:cs="Times New Roman"/>
          <w:b/>
          <w:bCs/>
          <w:sz w:val="28"/>
          <w:szCs w:val="28"/>
        </w:rPr>
        <w:t>49,76</w:t>
      </w:r>
      <w:r w:rsidR="0095429F" w:rsidRPr="00120480">
        <w:rPr>
          <w:rFonts w:ascii="Times New Roman" w:hAnsi="Times New Roman" w:cs="Times New Roman"/>
          <w:sz w:val="28"/>
          <w:szCs w:val="28"/>
        </w:rPr>
        <w:t xml:space="preserve"> кв.м. (в феврале - </w:t>
      </w:r>
      <w:r w:rsidR="003F387B" w:rsidRPr="00120480">
        <w:rPr>
          <w:rFonts w:ascii="Times New Roman" w:hAnsi="Times New Roman" w:cs="Times New Roman"/>
          <w:sz w:val="28"/>
          <w:szCs w:val="28"/>
        </w:rPr>
        <w:t>48</w:t>
      </w:r>
      <w:r w:rsidR="007647AA" w:rsidRPr="001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7AA" w:rsidRPr="00120480">
        <w:rPr>
          <w:rFonts w:ascii="Times New Roman" w:hAnsi="Times New Roman" w:cs="Times New Roman"/>
          <w:sz w:val="28"/>
          <w:szCs w:val="28"/>
        </w:rPr>
        <w:t>кв.м.</w:t>
      </w:r>
      <w:r w:rsidR="0095429F" w:rsidRPr="00120480">
        <w:rPr>
          <w:rFonts w:ascii="Times New Roman" w:hAnsi="Times New Roman" w:cs="Times New Roman"/>
          <w:sz w:val="28"/>
          <w:szCs w:val="28"/>
        </w:rPr>
        <w:t>, а</w:t>
      </w:r>
      <w:r w:rsidR="009F6CDE" w:rsidRPr="00120480">
        <w:rPr>
          <w:rFonts w:ascii="Times New Roman" w:hAnsi="Times New Roman" w:cs="Times New Roman"/>
          <w:sz w:val="28"/>
          <w:szCs w:val="28"/>
        </w:rPr>
        <w:t xml:space="preserve"> в </w:t>
      </w:r>
      <w:r w:rsidR="003F387B" w:rsidRPr="00120480">
        <w:rPr>
          <w:rFonts w:ascii="Times New Roman" w:hAnsi="Times New Roman" w:cs="Times New Roman"/>
          <w:sz w:val="28"/>
          <w:szCs w:val="28"/>
        </w:rPr>
        <w:t>январе этот показатель составлял 46,5 кв.м.</w:t>
      </w:r>
      <w:r w:rsidR="007232EC" w:rsidRPr="00120480">
        <w:rPr>
          <w:rFonts w:ascii="Times New Roman" w:hAnsi="Times New Roman" w:cs="Times New Roman"/>
          <w:sz w:val="28"/>
          <w:szCs w:val="28"/>
        </w:rPr>
        <w:t>).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95429F" w:rsidRPr="00120480">
        <w:rPr>
          <w:rFonts w:ascii="Times New Roman" w:hAnsi="Times New Roman" w:cs="Times New Roman"/>
          <w:sz w:val="28"/>
          <w:szCs w:val="28"/>
        </w:rPr>
        <w:t>Однако это существенно ниже показателей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95429F" w:rsidRPr="00120480">
        <w:rPr>
          <w:rFonts w:ascii="Times New Roman" w:hAnsi="Times New Roman" w:cs="Times New Roman"/>
          <w:sz w:val="28"/>
          <w:szCs w:val="28"/>
        </w:rPr>
        <w:t xml:space="preserve">1 квартала прошлого года. </w:t>
      </w:r>
    </w:p>
    <w:p w14:paraId="11F6E03E" w14:textId="595F9C15" w:rsidR="00DA6879" w:rsidRDefault="00DA6879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80">
        <w:rPr>
          <w:rFonts w:ascii="Times New Roman" w:hAnsi="Times New Roman" w:cs="Times New Roman"/>
          <w:sz w:val="28"/>
          <w:szCs w:val="28"/>
        </w:rPr>
        <w:t xml:space="preserve">В марте 2024г. ранее </w:t>
      </w:r>
      <w:r w:rsidR="007232EC" w:rsidRPr="00120480">
        <w:rPr>
          <w:rFonts w:ascii="Times New Roman" w:hAnsi="Times New Roman" w:cs="Times New Roman"/>
          <w:sz w:val="28"/>
          <w:szCs w:val="28"/>
        </w:rPr>
        <w:t>наметивш</w:t>
      </w:r>
      <w:r w:rsidRPr="00120480">
        <w:rPr>
          <w:rFonts w:ascii="Times New Roman" w:hAnsi="Times New Roman" w:cs="Times New Roman"/>
          <w:sz w:val="28"/>
          <w:szCs w:val="28"/>
        </w:rPr>
        <w:t>ие</w:t>
      </w:r>
      <w:r w:rsidR="007232EC" w:rsidRPr="00120480">
        <w:rPr>
          <w:rFonts w:ascii="Times New Roman" w:hAnsi="Times New Roman" w:cs="Times New Roman"/>
          <w:sz w:val="28"/>
          <w:szCs w:val="28"/>
        </w:rPr>
        <w:t xml:space="preserve">ся тенденции по уменьшению количества заключаемых ДДУ не подтвердилась, </w:t>
      </w:r>
      <w:r w:rsidR="00BE2F07" w:rsidRPr="00120480">
        <w:rPr>
          <w:rFonts w:ascii="Times New Roman" w:hAnsi="Times New Roman" w:cs="Times New Roman"/>
          <w:sz w:val="28"/>
          <w:szCs w:val="28"/>
        </w:rPr>
        <w:t>напротив наметился рост,</w:t>
      </w:r>
      <w:r w:rsidR="007232EC" w:rsidRPr="00120480">
        <w:rPr>
          <w:rFonts w:ascii="Times New Roman" w:hAnsi="Times New Roman" w:cs="Times New Roman"/>
          <w:sz w:val="28"/>
          <w:szCs w:val="28"/>
        </w:rPr>
        <w:t xml:space="preserve"> количество заключенных ДДУ </w:t>
      </w:r>
      <w:r w:rsidR="00BE2F07" w:rsidRPr="00120480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="007232EC" w:rsidRPr="00120480">
        <w:rPr>
          <w:rFonts w:ascii="Times New Roman" w:hAnsi="Times New Roman" w:cs="Times New Roman"/>
          <w:sz w:val="28"/>
          <w:szCs w:val="28"/>
        </w:rPr>
        <w:t>п</w:t>
      </w:r>
      <w:r w:rsidR="00BE2F07" w:rsidRPr="00120480">
        <w:rPr>
          <w:rFonts w:ascii="Times New Roman" w:hAnsi="Times New Roman" w:cs="Times New Roman"/>
          <w:sz w:val="28"/>
          <w:szCs w:val="28"/>
        </w:rPr>
        <w:t>рактически</w:t>
      </w:r>
      <w:r w:rsidR="007232EC" w:rsidRPr="00120480">
        <w:rPr>
          <w:rFonts w:ascii="Times New Roman" w:hAnsi="Times New Roman" w:cs="Times New Roman"/>
          <w:sz w:val="28"/>
          <w:szCs w:val="28"/>
        </w:rPr>
        <w:t xml:space="preserve"> на 30%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7232EC" w:rsidRPr="00120480">
        <w:rPr>
          <w:rFonts w:ascii="Times New Roman" w:hAnsi="Times New Roman" w:cs="Times New Roman"/>
          <w:sz w:val="28"/>
          <w:szCs w:val="28"/>
        </w:rPr>
        <w:t>и составило 660 ДДУ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7232EC" w:rsidRPr="00120480">
        <w:rPr>
          <w:rFonts w:ascii="Times New Roman" w:hAnsi="Times New Roman" w:cs="Times New Roman"/>
          <w:sz w:val="28"/>
          <w:szCs w:val="28"/>
        </w:rPr>
        <w:t xml:space="preserve">(в феврале </w:t>
      </w:r>
      <w:r w:rsidR="005F099E" w:rsidRPr="00120480">
        <w:rPr>
          <w:rFonts w:ascii="Times New Roman" w:hAnsi="Times New Roman" w:cs="Times New Roman"/>
          <w:sz w:val="28"/>
          <w:szCs w:val="28"/>
        </w:rPr>
        <w:t xml:space="preserve">– </w:t>
      </w:r>
      <w:r w:rsidR="005F099E" w:rsidRPr="00120480">
        <w:rPr>
          <w:rFonts w:ascii="Times New Roman" w:hAnsi="Times New Roman" w:cs="Times New Roman"/>
          <w:b/>
          <w:bCs/>
          <w:sz w:val="28"/>
          <w:szCs w:val="28"/>
        </w:rPr>
        <w:t>464</w:t>
      </w:r>
      <w:r w:rsidR="005F099E" w:rsidRPr="00120480">
        <w:rPr>
          <w:rFonts w:ascii="Times New Roman" w:hAnsi="Times New Roman" w:cs="Times New Roman"/>
          <w:sz w:val="28"/>
          <w:szCs w:val="28"/>
        </w:rPr>
        <w:t xml:space="preserve"> ДДУ</w:t>
      </w:r>
      <w:r w:rsidR="007232EC" w:rsidRPr="00120480">
        <w:rPr>
          <w:rFonts w:ascii="Times New Roman" w:hAnsi="Times New Roman" w:cs="Times New Roman"/>
          <w:sz w:val="28"/>
          <w:szCs w:val="28"/>
        </w:rPr>
        <w:t xml:space="preserve">). </w:t>
      </w:r>
      <w:r w:rsidR="00BE2F07" w:rsidRPr="00120480">
        <w:rPr>
          <w:rFonts w:ascii="Times New Roman" w:hAnsi="Times New Roman" w:cs="Times New Roman"/>
          <w:sz w:val="28"/>
          <w:szCs w:val="28"/>
        </w:rPr>
        <w:t>За</w:t>
      </w:r>
      <w:r w:rsidR="007232EC" w:rsidRPr="00120480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BE2F07" w:rsidRPr="00120480">
        <w:rPr>
          <w:rFonts w:ascii="Times New Roman" w:hAnsi="Times New Roman" w:cs="Times New Roman"/>
          <w:sz w:val="28"/>
          <w:szCs w:val="28"/>
        </w:rPr>
        <w:t xml:space="preserve"> 2024г. всего было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7232EC" w:rsidRPr="00120480">
        <w:rPr>
          <w:rFonts w:ascii="Times New Roman" w:hAnsi="Times New Roman" w:cs="Times New Roman"/>
          <w:sz w:val="28"/>
          <w:szCs w:val="28"/>
        </w:rPr>
        <w:t>заключен</w:t>
      </w:r>
      <w:r w:rsidR="00BE2F07" w:rsidRPr="00120480">
        <w:rPr>
          <w:rFonts w:ascii="Times New Roman" w:hAnsi="Times New Roman" w:cs="Times New Roman"/>
          <w:sz w:val="28"/>
          <w:szCs w:val="28"/>
        </w:rPr>
        <w:t xml:space="preserve">о </w:t>
      </w:r>
      <w:r w:rsidRPr="00120480">
        <w:rPr>
          <w:rFonts w:ascii="Times New Roman" w:hAnsi="Times New Roman" w:cs="Times New Roman"/>
          <w:sz w:val="28"/>
          <w:szCs w:val="28"/>
        </w:rPr>
        <w:t>1831 ДДУ, однако это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Pr="00120480">
        <w:rPr>
          <w:rFonts w:ascii="Times New Roman" w:hAnsi="Times New Roman" w:cs="Times New Roman"/>
          <w:sz w:val="28"/>
          <w:szCs w:val="28"/>
        </w:rPr>
        <w:t>на 9% меньше, чем в 1 квартале 2023г. (1831 ДДУ).</w:t>
      </w:r>
    </w:p>
    <w:p w14:paraId="77701BF8" w14:textId="77777777" w:rsidR="00120480" w:rsidRDefault="00120480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231A7B" w14:textId="77777777" w:rsidR="00120480" w:rsidRPr="000917C0" w:rsidRDefault="00120480" w:rsidP="00120480">
      <w:pPr>
        <w:pStyle w:val="af0"/>
        <w:ind w:left="1418"/>
        <w:rPr>
          <w:b/>
          <w:bCs/>
          <w:noProof/>
          <w:sz w:val="27"/>
          <w:szCs w:val="27"/>
        </w:rPr>
      </w:pPr>
      <w:r w:rsidRPr="00223F41">
        <w:rPr>
          <w:rFonts w:ascii="Times New Roman" w:hAnsi="Times New Roman" w:cs="Times New Roman"/>
          <w:b/>
          <w:bCs/>
          <w:sz w:val="27"/>
          <w:szCs w:val="27"/>
        </w:rPr>
        <w:t>Динамика заключения ДДУ</w:t>
      </w:r>
      <w:r>
        <w:rPr>
          <w:b/>
          <w:bCs/>
          <w:noProof/>
          <w:sz w:val="27"/>
          <w:szCs w:val="27"/>
        </w:rPr>
        <w:t xml:space="preserve"> </w:t>
      </w:r>
      <w:r w:rsidRPr="00223F41">
        <w:rPr>
          <w:rFonts w:ascii="Times New Roman" w:hAnsi="Times New Roman" w:cs="Times New Roman"/>
          <w:b/>
          <w:bCs/>
          <w:sz w:val="27"/>
          <w:szCs w:val="27"/>
        </w:rPr>
        <w:t>и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223F41">
        <w:rPr>
          <w:rFonts w:ascii="Times New Roman" w:hAnsi="Times New Roman" w:cs="Times New Roman"/>
          <w:b/>
          <w:bCs/>
          <w:sz w:val="27"/>
          <w:szCs w:val="27"/>
        </w:rPr>
        <w:t xml:space="preserve">реализация </w:t>
      </w:r>
      <w:r w:rsidRPr="00223F41">
        <w:rPr>
          <w:rFonts w:ascii="Times New Roman" w:hAnsi="Times New Roman" w:cs="Times New Roman"/>
          <w:b/>
          <w:bCs/>
          <w:sz w:val="27"/>
          <w:szCs w:val="27"/>
          <w:lang w:val="en-US"/>
        </w:rPr>
        <w:t>S</w:t>
      </w:r>
      <w:r w:rsidRPr="00223F41">
        <w:rPr>
          <w:rFonts w:ascii="Times New Roman" w:hAnsi="Times New Roman" w:cs="Times New Roman"/>
          <w:b/>
          <w:bCs/>
          <w:sz w:val="27"/>
          <w:szCs w:val="27"/>
        </w:rPr>
        <w:t xml:space="preserve"> по ДДУ</w:t>
      </w:r>
    </w:p>
    <w:p w14:paraId="1B5CCE92" w14:textId="79FD01D7" w:rsidR="00120480" w:rsidRPr="00120480" w:rsidRDefault="00120480" w:rsidP="0012048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3C8499" wp14:editId="2952EAF9">
            <wp:extent cx="5939790" cy="3511550"/>
            <wp:effectExtent l="0" t="0" r="3810" b="12700"/>
            <wp:docPr id="120120172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216E3E6-EEE4-450D-B4BB-F6A3C2C517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A80718" w14:textId="481DFA6D" w:rsidR="00947EBC" w:rsidRPr="00120480" w:rsidRDefault="00AD3CF3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80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53220" w:rsidRPr="00120480">
        <w:rPr>
          <w:rFonts w:ascii="Times New Roman" w:hAnsi="Times New Roman" w:cs="Times New Roman"/>
          <w:sz w:val="28"/>
          <w:szCs w:val="28"/>
        </w:rPr>
        <w:t>бъем</w:t>
      </w:r>
      <w:r w:rsidR="00CC00A4" w:rsidRPr="00120480">
        <w:rPr>
          <w:rFonts w:ascii="Times New Roman" w:hAnsi="Times New Roman" w:cs="Times New Roman"/>
          <w:sz w:val="28"/>
          <w:szCs w:val="28"/>
        </w:rPr>
        <w:t xml:space="preserve"> всей</w:t>
      </w:r>
      <w:r w:rsidR="00F53220" w:rsidRPr="00120480">
        <w:rPr>
          <w:rFonts w:ascii="Times New Roman" w:hAnsi="Times New Roman" w:cs="Times New Roman"/>
          <w:sz w:val="28"/>
          <w:szCs w:val="28"/>
        </w:rPr>
        <w:t xml:space="preserve"> реализованной </w:t>
      </w:r>
      <w:r w:rsidR="00DA6879" w:rsidRPr="00120480">
        <w:rPr>
          <w:rFonts w:ascii="Times New Roman" w:hAnsi="Times New Roman" w:cs="Times New Roman"/>
          <w:sz w:val="28"/>
          <w:szCs w:val="28"/>
        </w:rPr>
        <w:t xml:space="preserve">жилой </w:t>
      </w:r>
      <w:r w:rsidR="00F53220" w:rsidRPr="00120480">
        <w:rPr>
          <w:rFonts w:ascii="Times New Roman" w:hAnsi="Times New Roman" w:cs="Times New Roman"/>
          <w:sz w:val="28"/>
          <w:szCs w:val="28"/>
        </w:rPr>
        <w:t>площади по ДДУ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DA6879" w:rsidRPr="00120480">
        <w:rPr>
          <w:rFonts w:ascii="Times New Roman" w:hAnsi="Times New Roman" w:cs="Times New Roman"/>
          <w:sz w:val="28"/>
          <w:szCs w:val="28"/>
        </w:rPr>
        <w:t xml:space="preserve">за март 2024г. </w:t>
      </w:r>
      <w:r w:rsidR="00F53220" w:rsidRPr="0012048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DA6879" w:rsidRPr="00120480">
        <w:rPr>
          <w:rFonts w:ascii="Times New Roman" w:hAnsi="Times New Roman" w:cs="Times New Roman"/>
          <w:b/>
          <w:bCs/>
          <w:sz w:val="28"/>
          <w:szCs w:val="28"/>
        </w:rPr>
        <w:t>32,</w:t>
      </w:r>
      <w:r w:rsidR="00120480" w:rsidRPr="0012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879" w:rsidRPr="00120480">
        <w:rPr>
          <w:rFonts w:ascii="Times New Roman" w:hAnsi="Times New Roman" w:cs="Times New Roman"/>
          <w:b/>
          <w:bCs/>
          <w:sz w:val="28"/>
          <w:szCs w:val="28"/>
        </w:rPr>
        <w:t>841</w:t>
      </w:r>
      <w:r w:rsidR="00DA6879" w:rsidRPr="001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879" w:rsidRPr="00120480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DA6879" w:rsidRPr="00120480">
        <w:rPr>
          <w:rFonts w:ascii="Times New Roman" w:hAnsi="Times New Roman" w:cs="Times New Roman"/>
          <w:sz w:val="28"/>
          <w:szCs w:val="28"/>
        </w:rPr>
        <w:t>., что на 32,2% больше</w:t>
      </w:r>
      <w:r w:rsidR="00BE2F07" w:rsidRPr="00120480">
        <w:rPr>
          <w:rFonts w:ascii="Times New Roman" w:hAnsi="Times New Roman" w:cs="Times New Roman"/>
          <w:sz w:val="28"/>
          <w:szCs w:val="28"/>
        </w:rPr>
        <w:t>,</w:t>
      </w:r>
      <w:r w:rsidR="00DA6879" w:rsidRPr="00120480">
        <w:rPr>
          <w:rFonts w:ascii="Times New Roman" w:hAnsi="Times New Roman" w:cs="Times New Roman"/>
          <w:sz w:val="28"/>
          <w:szCs w:val="28"/>
        </w:rPr>
        <w:t xml:space="preserve"> чем в феврале - </w:t>
      </w:r>
      <w:r w:rsidRPr="00120480">
        <w:rPr>
          <w:rFonts w:ascii="Times New Roman" w:hAnsi="Times New Roman" w:cs="Times New Roman"/>
          <w:sz w:val="28"/>
          <w:szCs w:val="28"/>
        </w:rPr>
        <w:t xml:space="preserve">22, 256 </w:t>
      </w:r>
      <w:proofErr w:type="spellStart"/>
      <w:r w:rsidR="008D4CE7" w:rsidRPr="00120480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DA6879" w:rsidRPr="00120480">
        <w:rPr>
          <w:rFonts w:ascii="Times New Roman" w:hAnsi="Times New Roman" w:cs="Times New Roman"/>
          <w:sz w:val="28"/>
          <w:szCs w:val="28"/>
        </w:rPr>
        <w:t>.</w:t>
      </w:r>
      <w:r w:rsidR="008D4CE7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BE2F07" w:rsidRPr="00120480">
        <w:rPr>
          <w:rFonts w:ascii="Times New Roman" w:hAnsi="Times New Roman" w:cs="Times New Roman"/>
          <w:sz w:val="28"/>
          <w:szCs w:val="28"/>
        </w:rPr>
        <w:t xml:space="preserve">Всего за 1 квартал 2024г. было реализовано </w:t>
      </w:r>
      <w:r w:rsidR="00BE2F07" w:rsidRPr="00120480">
        <w:rPr>
          <w:rFonts w:ascii="Times New Roman" w:hAnsi="Times New Roman" w:cs="Times New Roman"/>
          <w:b/>
          <w:bCs/>
          <w:sz w:val="28"/>
          <w:szCs w:val="28"/>
        </w:rPr>
        <w:t>87,75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F07" w:rsidRPr="00120480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BE2F07" w:rsidRPr="00120480">
        <w:rPr>
          <w:rFonts w:ascii="Times New Roman" w:hAnsi="Times New Roman" w:cs="Times New Roman"/>
          <w:sz w:val="28"/>
          <w:szCs w:val="28"/>
        </w:rPr>
        <w:t xml:space="preserve">, что на 18,2% меньше, чем за аналогичный период прошлого года (107,3 </w:t>
      </w:r>
      <w:proofErr w:type="spellStart"/>
      <w:r w:rsidR="00BE2F07" w:rsidRPr="00120480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BE2F07" w:rsidRPr="00120480">
        <w:rPr>
          <w:rFonts w:ascii="Times New Roman" w:hAnsi="Times New Roman" w:cs="Times New Roman"/>
          <w:sz w:val="28"/>
          <w:szCs w:val="28"/>
        </w:rPr>
        <w:t>)</w:t>
      </w:r>
    </w:p>
    <w:bookmarkEnd w:id="1"/>
    <w:p w14:paraId="3D6D17E7" w14:textId="4E5CC086" w:rsidR="00684D14" w:rsidRPr="00120480" w:rsidRDefault="00B321CE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80">
        <w:rPr>
          <w:rFonts w:ascii="Times New Roman" w:hAnsi="Times New Roman" w:cs="Times New Roman"/>
          <w:sz w:val="28"/>
          <w:szCs w:val="28"/>
        </w:rPr>
        <w:t>Начавшийся в 4 квартале прошлого года и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Pr="00120480">
        <w:rPr>
          <w:rFonts w:ascii="Times New Roman" w:hAnsi="Times New Roman" w:cs="Times New Roman"/>
          <w:sz w:val="28"/>
          <w:szCs w:val="28"/>
        </w:rPr>
        <w:t>у</w:t>
      </w:r>
      <w:r w:rsidR="00AD3CF3" w:rsidRPr="00120480">
        <w:rPr>
          <w:rFonts w:ascii="Times New Roman" w:hAnsi="Times New Roman" w:cs="Times New Roman"/>
          <w:sz w:val="28"/>
          <w:szCs w:val="28"/>
        </w:rPr>
        <w:t>силившийся</w:t>
      </w:r>
      <w:r w:rsidR="00856557" w:rsidRPr="00120480">
        <w:rPr>
          <w:rFonts w:ascii="Times New Roman" w:hAnsi="Times New Roman" w:cs="Times New Roman"/>
          <w:sz w:val="28"/>
          <w:szCs w:val="28"/>
        </w:rPr>
        <w:t xml:space="preserve"> в феврале 2024г.</w:t>
      </w:r>
      <w:r w:rsidR="00684D14" w:rsidRPr="00120480">
        <w:rPr>
          <w:rFonts w:ascii="Times New Roman" w:hAnsi="Times New Roman" w:cs="Times New Roman"/>
          <w:sz w:val="28"/>
          <w:szCs w:val="28"/>
        </w:rPr>
        <w:t xml:space="preserve"> тренд на снижение количества заключенных ДДУ, уменьшени</w:t>
      </w:r>
      <w:r w:rsidR="00856557" w:rsidRPr="00120480">
        <w:rPr>
          <w:rFonts w:ascii="Times New Roman" w:hAnsi="Times New Roman" w:cs="Times New Roman"/>
          <w:sz w:val="28"/>
          <w:szCs w:val="28"/>
        </w:rPr>
        <w:t>е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84D14" w:rsidRPr="00120480">
        <w:rPr>
          <w:rFonts w:ascii="Times New Roman" w:hAnsi="Times New Roman" w:cs="Times New Roman"/>
          <w:sz w:val="28"/>
          <w:szCs w:val="28"/>
        </w:rPr>
        <w:t>объемов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84D14" w:rsidRPr="00120480">
        <w:rPr>
          <w:rFonts w:ascii="Times New Roman" w:hAnsi="Times New Roman" w:cs="Times New Roman"/>
          <w:sz w:val="28"/>
          <w:szCs w:val="28"/>
        </w:rPr>
        <w:t>реализованной площади по ДДУ</w:t>
      </w:r>
      <w:r w:rsidRPr="00120480">
        <w:rPr>
          <w:rFonts w:ascii="Times New Roman" w:hAnsi="Times New Roman" w:cs="Times New Roman"/>
          <w:sz w:val="28"/>
          <w:szCs w:val="28"/>
        </w:rPr>
        <w:t xml:space="preserve"> в этот период был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84D14" w:rsidRPr="00120480">
        <w:rPr>
          <w:rFonts w:ascii="Times New Roman" w:hAnsi="Times New Roman" w:cs="Times New Roman"/>
          <w:sz w:val="28"/>
          <w:szCs w:val="28"/>
        </w:rPr>
        <w:t>обусловлен</w:t>
      </w:r>
      <w:r w:rsidR="00AD3CF3" w:rsidRPr="00120480">
        <w:rPr>
          <w:rFonts w:ascii="Times New Roman" w:hAnsi="Times New Roman" w:cs="Times New Roman"/>
          <w:sz w:val="28"/>
          <w:szCs w:val="28"/>
        </w:rPr>
        <w:t xml:space="preserve"> кратковременным</w:t>
      </w:r>
      <w:r w:rsidR="00684D14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856557" w:rsidRPr="00120480">
        <w:rPr>
          <w:rFonts w:ascii="Times New Roman" w:hAnsi="Times New Roman" w:cs="Times New Roman"/>
          <w:sz w:val="28"/>
          <w:szCs w:val="28"/>
        </w:rPr>
        <w:t xml:space="preserve">охлаждением </w:t>
      </w:r>
      <w:r w:rsidR="00684D14" w:rsidRPr="00120480">
        <w:rPr>
          <w:rFonts w:ascii="Times New Roman" w:hAnsi="Times New Roman" w:cs="Times New Roman"/>
          <w:sz w:val="28"/>
          <w:szCs w:val="28"/>
        </w:rPr>
        <w:t>спрос</w:t>
      </w:r>
      <w:r w:rsidR="00856557" w:rsidRPr="00120480">
        <w:rPr>
          <w:rFonts w:ascii="Times New Roman" w:hAnsi="Times New Roman" w:cs="Times New Roman"/>
          <w:sz w:val="28"/>
          <w:szCs w:val="28"/>
        </w:rPr>
        <w:t>а</w:t>
      </w:r>
      <w:r w:rsidR="00684D14" w:rsidRPr="00120480">
        <w:rPr>
          <w:rFonts w:ascii="Times New Roman" w:hAnsi="Times New Roman" w:cs="Times New Roman"/>
          <w:sz w:val="28"/>
          <w:szCs w:val="28"/>
        </w:rPr>
        <w:t xml:space="preserve"> населения вследствие</w:t>
      </w:r>
      <w:r w:rsidR="00856557" w:rsidRPr="00120480">
        <w:rPr>
          <w:rFonts w:ascii="Times New Roman" w:hAnsi="Times New Roman" w:cs="Times New Roman"/>
          <w:sz w:val="28"/>
          <w:szCs w:val="28"/>
        </w:rPr>
        <w:t xml:space="preserve"> продления программы </w:t>
      </w:r>
      <w:r w:rsidRPr="00120480">
        <w:rPr>
          <w:rFonts w:ascii="Times New Roman" w:hAnsi="Times New Roman" w:cs="Times New Roman"/>
          <w:sz w:val="28"/>
          <w:szCs w:val="28"/>
        </w:rPr>
        <w:t xml:space="preserve">семейной </w:t>
      </w:r>
      <w:r w:rsidR="00856557" w:rsidRPr="00120480">
        <w:rPr>
          <w:rFonts w:ascii="Times New Roman" w:hAnsi="Times New Roman" w:cs="Times New Roman"/>
          <w:sz w:val="28"/>
          <w:szCs w:val="28"/>
        </w:rPr>
        <w:t>ипотеки</w:t>
      </w:r>
      <w:r w:rsidR="008D4CE7" w:rsidRPr="00120480">
        <w:rPr>
          <w:rFonts w:ascii="Times New Roman" w:hAnsi="Times New Roman" w:cs="Times New Roman"/>
          <w:sz w:val="28"/>
          <w:szCs w:val="28"/>
        </w:rPr>
        <w:t xml:space="preserve"> (</w:t>
      </w:r>
      <w:r w:rsidR="00856557" w:rsidRPr="00120480">
        <w:rPr>
          <w:rFonts w:ascii="Times New Roman" w:hAnsi="Times New Roman" w:cs="Times New Roman"/>
          <w:sz w:val="28"/>
          <w:szCs w:val="28"/>
        </w:rPr>
        <w:t>ранее спрос подхлестывала перспектива ее завершения</w:t>
      </w:r>
      <w:r w:rsidR="008D4CE7" w:rsidRPr="00120480">
        <w:rPr>
          <w:rFonts w:ascii="Times New Roman" w:hAnsi="Times New Roman" w:cs="Times New Roman"/>
          <w:sz w:val="28"/>
          <w:szCs w:val="28"/>
        </w:rPr>
        <w:t>)</w:t>
      </w:r>
      <w:r w:rsidR="00856557" w:rsidRPr="00120480">
        <w:rPr>
          <w:rFonts w:ascii="Times New Roman" w:hAnsi="Times New Roman" w:cs="Times New Roman"/>
          <w:sz w:val="28"/>
          <w:szCs w:val="28"/>
        </w:rPr>
        <w:t>,</w:t>
      </w:r>
      <w:r w:rsidR="00684D14" w:rsidRPr="00120480">
        <w:rPr>
          <w:rFonts w:ascii="Times New Roman" w:hAnsi="Times New Roman" w:cs="Times New Roman"/>
          <w:sz w:val="28"/>
          <w:szCs w:val="28"/>
        </w:rPr>
        <w:t xml:space="preserve"> изменением условий программы льготной ипотеки, повышением требований Банков к заемщикам, к размеру предельной долговой нагрузки ипотечного заемщика с учетом всех имеющихся кредитных обязательств, увеличением размера взноса собственных средств заемщика</w:t>
      </w:r>
      <w:r w:rsidR="00856557" w:rsidRPr="00120480">
        <w:rPr>
          <w:rFonts w:ascii="Times New Roman" w:hAnsi="Times New Roman" w:cs="Times New Roman"/>
          <w:sz w:val="28"/>
          <w:szCs w:val="28"/>
        </w:rPr>
        <w:t>, а также нестабильной политической обстановкой в мире.</w:t>
      </w:r>
      <w:r w:rsidR="008C335D" w:rsidRPr="00120480">
        <w:rPr>
          <w:rFonts w:ascii="Times New Roman" w:hAnsi="Times New Roman" w:cs="Times New Roman"/>
          <w:sz w:val="28"/>
          <w:szCs w:val="28"/>
        </w:rPr>
        <w:t xml:space="preserve"> В марте 2024г. снижение количества сделок приостановилось и показало рост,</w:t>
      </w:r>
      <w:r w:rsidR="004E00C9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8C335D" w:rsidRPr="00120480">
        <w:rPr>
          <w:rFonts w:ascii="Times New Roman" w:hAnsi="Times New Roman" w:cs="Times New Roman"/>
          <w:sz w:val="28"/>
          <w:szCs w:val="28"/>
        </w:rPr>
        <w:t>но в</w:t>
      </w:r>
      <w:r w:rsidR="004E00C9" w:rsidRPr="00120480">
        <w:rPr>
          <w:rFonts w:ascii="Times New Roman" w:hAnsi="Times New Roman" w:cs="Times New Roman"/>
          <w:sz w:val="28"/>
          <w:szCs w:val="28"/>
        </w:rPr>
        <w:t xml:space="preserve"> случае если будут реализованы предложения ЦБ РФ сделать льготную ипотеку более адресной, распространить ее только на те регионы в которых объемы ввода жилья недостаточны для удовлетворения населения и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4E00C9" w:rsidRPr="00120480">
        <w:rPr>
          <w:rFonts w:ascii="Times New Roman" w:hAnsi="Times New Roman" w:cs="Times New Roman"/>
          <w:sz w:val="28"/>
          <w:szCs w:val="28"/>
        </w:rPr>
        <w:t>задерживают их развитие</w:t>
      </w:r>
      <w:r w:rsidR="008C335D" w:rsidRPr="00120480">
        <w:rPr>
          <w:rFonts w:ascii="Times New Roman" w:hAnsi="Times New Roman" w:cs="Times New Roman"/>
          <w:sz w:val="28"/>
          <w:szCs w:val="28"/>
        </w:rPr>
        <w:t>, и,</w:t>
      </w:r>
      <w:r w:rsidR="004E00C9" w:rsidRPr="00120480">
        <w:rPr>
          <w:rFonts w:ascii="Times New Roman" w:hAnsi="Times New Roman" w:cs="Times New Roman"/>
          <w:sz w:val="28"/>
          <w:szCs w:val="28"/>
        </w:rPr>
        <w:t xml:space="preserve"> если Красноярский край не попадет в топ регионов где будет действовать льготная ипотека,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4E00C9" w:rsidRPr="00120480">
        <w:rPr>
          <w:rFonts w:ascii="Times New Roman" w:hAnsi="Times New Roman" w:cs="Times New Roman"/>
          <w:sz w:val="28"/>
          <w:szCs w:val="28"/>
        </w:rPr>
        <w:t>количество сделок при существующих процентных став</w:t>
      </w:r>
      <w:r w:rsidR="00C51318" w:rsidRPr="00120480">
        <w:rPr>
          <w:rFonts w:ascii="Times New Roman" w:hAnsi="Times New Roman" w:cs="Times New Roman"/>
          <w:sz w:val="28"/>
          <w:szCs w:val="28"/>
        </w:rPr>
        <w:t>ках</w:t>
      </w:r>
      <w:r w:rsidR="004E00C9" w:rsidRPr="00120480">
        <w:rPr>
          <w:rFonts w:ascii="Times New Roman" w:hAnsi="Times New Roman" w:cs="Times New Roman"/>
          <w:sz w:val="28"/>
          <w:szCs w:val="28"/>
        </w:rPr>
        <w:t xml:space="preserve"> может еще больше сокра</w:t>
      </w:r>
      <w:r w:rsidR="008C335D" w:rsidRPr="00120480">
        <w:rPr>
          <w:rFonts w:ascii="Times New Roman" w:hAnsi="Times New Roman" w:cs="Times New Roman"/>
          <w:sz w:val="28"/>
          <w:szCs w:val="28"/>
        </w:rPr>
        <w:t>т</w:t>
      </w:r>
      <w:r w:rsidR="004E00C9" w:rsidRPr="00120480">
        <w:rPr>
          <w:rFonts w:ascii="Times New Roman" w:hAnsi="Times New Roman" w:cs="Times New Roman"/>
          <w:sz w:val="28"/>
          <w:szCs w:val="28"/>
        </w:rPr>
        <w:t>иться.</w:t>
      </w:r>
    </w:p>
    <w:p w14:paraId="2A2A979D" w14:textId="146F6EEA" w:rsidR="00B03419" w:rsidRDefault="008C335D" w:rsidP="00120480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120480">
        <w:rPr>
          <w:sz w:val="28"/>
          <w:szCs w:val="28"/>
        </w:rPr>
        <w:t>На фоне это</w:t>
      </w:r>
      <w:r w:rsidR="006400F6" w:rsidRPr="00120480">
        <w:rPr>
          <w:sz w:val="28"/>
          <w:szCs w:val="28"/>
        </w:rPr>
        <w:t>го</w:t>
      </w:r>
      <w:r w:rsidRPr="00120480">
        <w:rPr>
          <w:sz w:val="28"/>
          <w:szCs w:val="28"/>
        </w:rPr>
        <w:t xml:space="preserve"> продолжается рост цены ДДУ, так с</w:t>
      </w:r>
      <w:r w:rsidR="002606C3" w:rsidRPr="00120480">
        <w:rPr>
          <w:sz w:val="28"/>
          <w:szCs w:val="28"/>
        </w:rPr>
        <w:t>редн</w:t>
      </w:r>
      <w:r w:rsidR="00F50FBA" w:rsidRPr="00120480">
        <w:rPr>
          <w:sz w:val="28"/>
          <w:szCs w:val="28"/>
        </w:rPr>
        <w:t>яя</w:t>
      </w:r>
      <w:r w:rsidR="002606C3" w:rsidRPr="00120480">
        <w:rPr>
          <w:sz w:val="28"/>
          <w:szCs w:val="28"/>
        </w:rPr>
        <w:t xml:space="preserve"> цен</w:t>
      </w:r>
      <w:r w:rsidR="00F50FBA" w:rsidRPr="00120480">
        <w:rPr>
          <w:sz w:val="28"/>
          <w:szCs w:val="28"/>
        </w:rPr>
        <w:t>а</w:t>
      </w:r>
      <w:r w:rsidR="002606C3" w:rsidRPr="00120480">
        <w:rPr>
          <w:sz w:val="28"/>
          <w:szCs w:val="28"/>
        </w:rPr>
        <w:t xml:space="preserve"> ДДУ</w:t>
      </w:r>
      <w:r w:rsidR="00120480" w:rsidRPr="00120480">
        <w:rPr>
          <w:sz w:val="28"/>
          <w:szCs w:val="28"/>
        </w:rPr>
        <w:t xml:space="preserve"> </w:t>
      </w:r>
      <w:r w:rsidR="008D2889" w:rsidRPr="00120480">
        <w:rPr>
          <w:sz w:val="28"/>
          <w:szCs w:val="28"/>
        </w:rPr>
        <w:t xml:space="preserve">в </w:t>
      </w:r>
      <w:r w:rsidRPr="00120480">
        <w:rPr>
          <w:sz w:val="28"/>
          <w:szCs w:val="28"/>
        </w:rPr>
        <w:t>марте</w:t>
      </w:r>
      <w:r w:rsidR="006400F6" w:rsidRPr="00120480">
        <w:rPr>
          <w:sz w:val="28"/>
          <w:szCs w:val="28"/>
        </w:rPr>
        <w:t xml:space="preserve"> 2024г.</w:t>
      </w:r>
      <w:r w:rsidRPr="00120480">
        <w:rPr>
          <w:sz w:val="28"/>
          <w:szCs w:val="28"/>
        </w:rPr>
        <w:t xml:space="preserve"> составила </w:t>
      </w:r>
      <w:r w:rsidRPr="00120480">
        <w:rPr>
          <w:b/>
          <w:bCs/>
          <w:sz w:val="28"/>
          <w:szCs w:val="28"/>
        </w:rPr>
        <w:t>6,263</w:t>
      </w:r>
      <w:r w:rsidRPr="00120480">
        <w:rPr>
          <w:sz w:val="28"/>
          <w:szCs w:val="28"/>
        </w:rPr>
        <w:t xml:space="preserve"> </w:t>
      </w:r>
      <w:proofErr w:type="spellStart"/>
      <w:proofErr w:type="gramStart"/>
      <w:r w:rsidRPr="00120480">
        <w:rPr>
          <w:sz w:val="28"/>
          <w:szCs w:val="28"/>
        </w:rPr>
        <w:t>млн.рублей</w:t>
      </w:r>
      <w:proofErr w:type="spellEnd"/>
      <w:proofErr w:type="gramEnd"/>
      <w:r w:rsidRPr="00120480">
        <w:rPr>
          <w:sz w:val="28"/>
          <w:szCs w:val="28"/>
        </w:rPr>
        <w:t xml:space="preserve"> это на 7,2% больше</w:t>
      </w:r>
      <w:r w:rsidR="006400F6" w:rsidRPr="00120480">
        <w:rPr>
          <w:sz w:val="28"/>
          <w:szCs w:val="28"/>
        </w:rPr>
        <w:t>,</w:t>
      </w:r>
      <w:r w:rsidRPr="00120480">
        <w:rPr>
          <w:sz w:val="28"/>
          <w:szCs w:val="28"/>
        </w:rPr>
        <w:t xml:space="preserve"> чем в </w:t>
      </w:r>
      <w:r w:rsidR="00856557" w:rsidRPr="00120480">
        <w:rPr>
          <w:sz w:val="28"/>
          <w:szCs w:val="28"/>
        </w:rPr>
        <w:t>феврале</w:t>
      </w:r>
      <w:r w:rsidRPr="00120480">
        <w:rPr>
          <w:sz w:val="28"/>
          <w:szCs w:val="28"/>
        </w:rPr>
        <w:t xml:space="preserve"> -</w:t>
      </w:r>
      <w:r w:rsidR="00120480" w:rsidRPr="00120480">
        <w:rPr>
          <w:sz w:val="28"/>
          <w:szCs w:val="28"/>
        </w:rPr>
        <w:t xml:space="preserve"> </w:t>
      </w:r>
      <w:r w:rsidR="00C43A7D" w:rsidRPr="00120480">
        <w:rPr>
          <w:sz w:val="28"/>
          <w:szCs w:val="28"/>
        </w:rPr>
        <w:t>5,7</w:t>
      </w:r>
      <w:r w:rsidR="00856557" w:rsidRPr="00120480">
        <w:rPr>
          <w:sz w:val="28"/>
          <w:szCs w:val="28"/>
        </w:rPr>
        <w:t>88</w:t>
      </w:r>
      <w:r w:rsidR="00C43A7D" w:rsidRPr="00120480">
        <w:rPr>
          <w:sz w:val="28"/>
          <w:szCs w:val="28"/>
        </w:rPr>
        <w:t xml:space="preserve"> </w:t>
      </w:r>
      <w:proofErr w:type="spellStart"/>
      <w:r w:rsidR="00C43A7D" w:rsidRPr="00120480">
        <w:rPr>
          <w:sz w:val="28"/>
          <w:szCs w:val="28"/>
        </w:rPr>
        <w:t>млн.рублей</w:t>
      </w:r>
      <w:proofErr w:type="spellEnd"/>
      <w:r w:rsidR="00856557" w:rsidRPr="00120480">
        <w:rPr>
          <w:sz w:val="28"/>
          <w:szCs w:val="28"/>
        </w:rPr>
        <w:t>,</w:t>
      </w:r>
      <w:r w:rsidRPr="00120480">
        <w:rPr>
          <w:sz w:val="28"/>
          <w:szCs w:val="28"/>
        </w:rPr>
        <w:t xml:space="preserve"> а</w:t>
      </w:r>
      <w:r w:rsidR="00120480" w:rsidRPr="00120480">
        <w:rPr>
          <w:sz w:val="28"/>
          <w:szCs w:val="28"/>
        </w:rPr>
        <w:t xml:space="preserve"> </w:t>
      </w:r>
      <w:r w:rsidR="00856557" w:rsidRPr="00120480">
        <w:rPr>
          <w:sz w:val="28"/>
          <w:szCs w:val="28"/>
        </w:rPr>
        <w:t>в январе цена ДДУ составляла</w:t>
      </w:r>
      <w:r w:rsidR="00120480" w:rsidRPr="00120480">
        <w:rPr>
          <w:sz w:val="28"/>
          <w:szCs w:val="28"/>
        </w:rPr>
        <w:t xml:space="preserve"> </w:t>
      </w:r>
      <w:r w:rsidR="00856557" w:rsidRPr="00120480">
        <w:rPr>
          <w:sz w:val="28"/>
          <w:szCs w:val="28"/>
        </w:rPr>
        <w:t xml:space="preserve">– 5,7 </w:t>
      </w:r>
      <w:proofErr w:type="spellStart"/>
      <w:r w:rsidR="00856557" w:rsidRPr="00120480">
        <w:rPr>
          <w:sz w:val="28"/>
          <w:szCs w:val="28"/>
        </w:rPr>
        <w:t>млн.рублей</w:t>
      </w:r>
      <w:proofErr w:type="spellEnd"/>
      <w:r w:rsidR="00856557" w:rsidRPr="00120480">
        <w:rPr>
          <w:sz w:val="28"/>
          <w:szCs w:val="28"/>
        </w:rPr>
        <w:t>,</w:t>
      </w:r>
      <w:r w:rsidR="007647AA" w:rsidRPr="00120480">
        <w:rPr>
          <w:sz w:val="28"/>
          <w:szCs w:val="28"/>
        </w:rPr>
        <w:t>.</w:t>
      </w:r>
      <w:r w:rsidR="00120480" w:rsidRPr="00120480">
        <w:rPr>
          <w:sz w:val="28"/>
          <w:szCs w:val="28"/>
        </w:rPr>
        <w:t xml:space="preserve"> </w:t>
      </w:r>
      <w:r w:rsidR="0007287D" w:rsidRPr="00120480">
        <w:rPr>
          <w:sz w:val="28"/>
          <w:szCs w:val="28"/>
        </w:rPr>
        <w:t>С</w:t>
      </w:r>
      <w:r w:rsidR="00D91218" w:rsidRPr="00120480">
        <w:rPr>
          <w:sz w:val="28"/>
          <w:szCs w:val="28"/>
        </w:rPr>
        <w:t>редн</w:t>
      </w:r>
      <w:r w:rsidR="007647AA" w:rsidRPr="00120480">
        <w:rPr>
          <w:sz w:val="28"/>
          <w:szCs w:val="28"/>
        </w:rPr>
        <w:t>яя</w:t>
      </w:r>
      <w:r w:rsidR="00D91218" w:rsidRPr="00120480">
        <w:rPr>
          <w:sz w:val="28"/>
          <w:szCs w:val="28"/>
        </w:rPr>
        <w:t xml:space="preserve"> </w:t>
      </w:r>
      <w:r w:rsidR="00396F52" w:rsidRPr="00120480">
        <w:rPr>
          <w:sz w:val="28"/>
          <w:szCs w:val="28"/>
        </w:rPr>
        <w:t>цен</w:t>
      </w:r>
      <w:r w:rsidR="007647AA" w:rsidRPr="00120480">
        <w:rPr>
          <w:sz w:val="28"/>
          <w:szCs w:val="28"/>
        </w:rPr>
        <w:t>а</w:t>
      </w:r>
      <w:r w:rsidR="00396F52" w:rsidRPr="00120480">
        <w:rPr>
          <w:sz w:val="28"/>
          <w:szCs w:val="28"/>
        </w:rPr>
        <w:t xml:space="preserve"> 1 кв.м.</w:t>
      </w:r>
      <w:r w:rsidR="0007287D" w:rsidRPr="00120480">
        <w:rPr>
          <w:sz w:val="28"/>
          <w:szCs w:val="28"/>
        </w:rPr>
        <w:t xml:space="preserve"> также</w:t>
      </w:r>
      <w:r w:rsidR="008B6E24" w:rsidRPr="00120480">
        <w:rPr>
          <w:sz w:val="28"/>
          <w:szCs w:val="28"/>
        </w:rPr>
        <w:t xml:space="preserve"> </w:t>
      </w:r>
      <w:r w:rsidR="007647AA" w:rsidRPr="00120480">
        <w:rPr>
          <w:sz w:val="28"/>
          <w:szCs w:val="28"/>
        </w:rPr>
        <w:t xml:space="preserve">показало рост и </w:t>
      </w:r>
      <w:r w:rsidR="0030657B" w:rsidRPr="00120480">
        <w:rPr>
          <w:sz w:val="28"/>
          <w:szCs w:val="28"/>
        </w:rPr>
        <w:t>составил</w:t>
      </w:r>
      <w:r w:rsidR="007647AA" w:rsidRPr="00120480">
        <w:rPr>
          <w:sz w:val="28"/>
          <w:szCs w:val="28"/>
        </w:rPr>
        <w:t>а</w:t>
      </w:r>
      <w:r w:rsidR="00120480" w:rsidRPr="00120480">
        <w:rPr>
          <w:sz w:val="28"/>
          <w:szCs w:val="28"/>
        </w:rPr>
        <w:t xml:space="preserve"> </w:t>
      </w:r>
      <w:r w:rsidR="0007287D" w:rsidRPr="00120480">
        <w:rPr>
          <w:sz w:val="28"/>
          <w:szCs w:val="28"/>
        </w:rPr>
        <w:t>-</w:t>
      </w:r>
      <w:r w:rsidR="006400F6" w:rsidRPr="00120480">
        <w:rPr>
          <w:sz w:val="28"/>
          <w:szCs w:val="28"/>
        </w:rPr>
        <w:t xml:space="preserve"> </w:t>
      </w:r>
      <w:r w:rsidR="006400F6" w:rsidRPr="00120480">
        <w:rPr>
          <w:b/>
          <w:bCs/>
          <w:sz w:val="28"/>
          <w:szCs w:val="28"/>
        </w:rPr>
        <w:t>125,872</w:t>
      </w:r>
      <w:r w:rsidR="006400F6" w:rsidRPr="00120480">
        <w:rPr>
          <w:sz w:val="28"/>
          <w:szCs w:val="28"/>
        </w:rPr>
        <w:t xml:space="preserve"> </w:t>
      </w:r>
      <w:proofErr w:type="spellStart"/>
      <w:proofErr w:type="gramStart"/>
      <w:r w:rsidR="006400F6" w:rsidRPr="00120480">
        <w:rPr>
          <w:sz w:val="28"/>
          <w:szCs w:val="28"/>
        </w:rPr>
        <w:t>тыс.рублей</w:t>
      </w:r>
      <w:proofErr w:type="spellEnd"/>
      <w:proofErr w:type="gramEnd"/>
      <w:r w:rsidR="006400F6" w:rsidRPr="00120480">
        <w:rPr>
          <w:sz w:val="28"/>
          <w:szCs w:val="28"/>
        </w:rPr>
        <w:t>, что на 4,2% больше, чем в феврале -</w:t>
      </w:r>
      <w:r w:rsidR="00120480" w:rsidRPr="00120480">
        <w:rPr>
          <w:sz w:val="28"/>
          <w:szCs w:val="28"/>
        </w:rPr>
        <w:t xml:space="preserve"> </w:t>
      </w:r>
      <w:r w:rsidR="0007287D" w:rsidRPr="00120480">
        <w:rPr>
          <w:sz w:val="28"/>
          <w:szCs w:val="28"/>
        </w:rPr>
        <w:t xml:space="preserve">120,682 </w:t>
      </w:r>
      <w:proofErr w:type="spellStart"/>
      <w:r w:rsidR="0007287D" w:rsidRPr="00120480">
        <w:rPr>
          <w:sz w:val="28"/>
          <w:szCs w:val="28"/>
        </w:rPr>
        <w:t>тыс.рублей</w:t>
      </w:r>
      <w:proofErr w:type="spellEnd"/>
      <w:r w:rsidR="0007287D" w:rsidRPr="00120480">
        <w:rPr>
          <w:sz w:val="28"/>
          <w:szCs w:val="28"/>
        </w:rPr>
        <w:t>, в январе</w:t>
      </w:r>
      <w:r w:rsidR="006400F6" w:rsidRPr="00120480">
        <w:rPr>
          <w:sz w:val="28"/>
          <w:szCs w:val="28"/>
        </w:rPr>
        <w:t xml:space="preserve"> этот показатель был на уровне</w:t>
      </w:r>
      <w:r w:rsidR="00120480" w:rsidRPr="00120480">
        <w:rPr>
          <w:sz w:val="28"/>
          <w:szCs w:val="28"/>
        </w:rPr>
        <w:t xml:space="preserve"> </w:t>
      </w:r>
      <w:r w:rsidR="0007287D" w:rsidRPr="00120480">
        <w:rPr>
          <w:sz w:val="28"/>
          <w:szCs w:val="28"/>
        </w:rPr>
        <w:t>-</w:t>
      </w:r>
      <w:r w:rsidR="007647AA" w:rsidRPr="00120480">
        <w:rPr>
          <w:sz w:val="28"/>
          <w:szCs w:val="28"/>
        </w:rPr>
        <w:t xml:space="preserve">120,393 </w:t>
      </w:r>
      <w:proofErr w:type="spellStart"/>
      <w:r w:rsidR="007647AA" w:rsidRPr="00120480">
        <w:rPr>
          <w:sz w:val="28"/>
          <w:szCs w:val="28"/>
        </w:rPr>
        <w:t>тыс.рублей</w:t>
      </w:r>
      <w:proofErr w:type="spellEnd"/>
      <w:r w:rsidR="007647AA" w:rsidRPr="00120480">
        <w:rPr>
          <w:sz w:val="28"/>
          <w:szCs w:val="28"/>
        </w:rPr>
        <w:t>,</w:t>
      </w:r>
    </w:p>
    <w:p w14:paraId="2C77BEA5" w14:textId="77777777" w:rsidR="00120480" w:rsidRDefault="00120480" w:rsidP="00120480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</w:p>
    <w:p w14:paraId="4D5B49D3" w14:textId="77777777" w:rsidR="00120480" w:rsidRDefault="00120480" w:rsidP="00120480">
      <w:pPr>
        <w:pStyle w:val="af0"/>
        <w:ind w:left="709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23F41">
        <w:rPr>
          <w:rFonts w:ascii="Times New Roman" w:hAnsi="Times New Roman" w:cs="Times New Roman"/>
          <w:b/>
          <w:bCs/>
          <w:sz w:val="27"/>
          <w:szCs w:val="27"/>
        </w:rPr>
        <w:t>Динамика средней цены 1 кв.м. жилья по ДДУ</w:t>
      </w:r>
    </w:p>
    <w:p w14:paraId="763C0215" w14:textId="4406F53E" w:rsidR="00120480" w:rsidRPr="00120480" w:rsidRDefault="00120480" w:rsidP="00120480">
      <w:pPr>
        <w:shd w:val="clear" w:color="auto" w:fill="FFFFFF"/>
        <w:spacing w:line="315" w:lineRule="atLeast"/>
        <w:jc w:val="both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59FB3612" wp14:editId="7AA1D5E8">
            <wp:extent cx="5939790" cy="3211195"/>
            <wp:effectExtent l="0" t="0" r="3810" b="8255"/>
            <wp:docPr id="112511934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25BAC17-B1A9-48A5-88A1-505B016952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DEDB6E" w14:textId="0C10AAFE" w:rsidR="00D95FE0" w:rsidRPr="00120480" w:rsidRDefault="0092112A" w:rsidP="00120480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120480">
        <w:rPr>
          <w:sz w:val="28"/>
          <w:szCs w:val="28"/>
        </w:rPr>
        <w:lastRenderedPageBreak/>
        <w:t xml:space="preserve">Как и ранее </w:t>
      </w:r>
      <w:r w:rsidR="004A644F" w:rsidRPr="00120480">
        <w:rPr>
          <w:sz w:val="28"/>
          <w:szCs w:val="28"/>
        </w:rPr>
        <w:t>С</w:t>
      </w:r>
      <w:r w:rsidRPr="00120480">
        <w:rPr>
          <w:sz w:val="28"/>
          <w:szCs w:val="28"/>
        </w:rPr>
        <w:t>лужба</w:t>
      </w:r>
      <w:r w:rsidR="00120480" w:rsidRPr="00120480">
        <w:rPr>
          <w:sz w:val="28"/>
          <w:szCs w:val="28"/>
        </w:rPr>
        <w:t xml:space="preserve"> </w:t>
      </w:r>
      <w:r w:rsidR="004A644F" w:rsidRPr="00120480">
        <w:rPr>
          <w:sz w:val="28"/>
          <w:szCs w:val="28"/>
        </w:rPr>
        <w:t>отме</w:t>
      </w:r>
      <w:r w:rsidRPr="00120480">
        <w:rPr>
          <w:sz w:val="28"/>
          <w:szCs w:val="28"/>
        </w:rPr>
        <w:t>чает</w:t>
      </w:r>
      <w:r w:rsidR="004A644F" w:rsidRPr="00120480">
        <w:rPr>
          <w:sz w:val="28"/>
          <w:szCs w:val="28"/>
        </w:rPr>
        <w:t xml:space="preserve">, что </w:t>
      </w:r>
      <w:r w:rsidR="00154A15" w:rsidRPr="00120480">
        <w:rPr>
          <w:sz w:val="28"/>
          <w:szCs w:val="28"/>
        </w:rPr>
        <w:t xml:space="preserve">рассчитанный показатель </w:t>
      </w:r>
      <w:r w:rsidR="00D95FE0" w:rsidRPr="00120480">
        <w:rPr>
          <w:sz w:val="28"/>
          <w:szCs w:val="28"/>
        </w:rPr>
        <w:t xml:space="preserve">средней цены 1 кв.м. </w:t>
      </w:r>
      <w:r w:rsidR="004A644F" w:rsidRPr="00120480">
        <w:rPr>
          <w:sz w:val="28"/>
          <w:szCs w:val="28"/>
        </w:rPr>
        <w:t xml:space="preserve">является приближённым к реальному значению, </w:t>
      </w:r>
      <w:r w:rsidR="00D95FE0" w:rsidRPr="00120480">
        <w:rPr>
          <w:sz w:val="28"/>
          <w:szCs w:val="28"/>
        </w:rPr>
        <w:t>не отражает фактическую среднюю рыночную цену</w:t>
      </w:r>
      <w:r w:rsidR="00D96BD7" w:rsidRPr="00120480">
        <w:rPr>
          <w:sz w:val="28"/>
          <w:szCs w:val="28"/>
        </w:rPr>
        <w:t xml:space="preserve"> реализации 1 кв.м.</w:t>
      </w:r>
      <w:r w:rsidRPr="00120480">
        <w:rPr>
          <w:sz w:val="28"/>
          <w:szCs w:val="28"/>
        </w:rPr>
        <w:t xml:space="preserve"> для конечного потребителя</w:t>
      </w:r>
      <w:r w:rsidR="00D95FE0" w:rsidRPr="00120480">
        <w:rPr>
          <w:sz w:val="28"/>
          <w:szCs w:val="28"/>
        </w:rPr>
        <w:t xml:space="preserve">, </w:t>
      </w:r>
      <w:r w:rsidR="00B03419" w:rsidRPr="00120480">
        <w:rPr>
          <w:sz w:val="28"/>
          <w:szCs w:val="28"/>
        </w:rPr>
        <w:t>данными которыми пользуется Служба бер</w:t>
      </w:r>
      <w:r w:rsidRPr="00120480">
        <w:rPr>
          <w:sz w:val="28"/>
          <w:szCs w:val="28"/>
        </w:rPr>
        <w:t>утся</w:t>
      </w:r>
      <w:r w:rsidR="00B03419" w:rsidRPr="00120480">
        <w:rPr>
          <w:sz w:val="28"/>
          <w:szCs w:val="28"/>
        </w:rPr>
        <w:t xml:space="preserve"> из открытых источников</w:t>
      </w:r>
      <w:r w:rsidRPr="00120480">
        <w:rPr>
          <w:sz w:val="28"/>
          <w:szCs w:val="28"/>
        </w:rPr>
        <w:t xml:space="preserve"> (проектные декларации на объекты, размещенные в ЕИСЖС)</w:t>
      </w:r>
      <w:r w:rsidR="00B03419" w:rsidRPr="00120480">
        <w:rPr>
          <w:sz w:val="28"/>
          <w:szCs w:val="28"/>
        </w:rPr>
        <w:t>,</w:t>
      </w:r>
      <w:r w:rsidR="004A644F" w:rsidRPr="00120480">
        <w:rPr>
          <w:sz w:val="28"/>
          <w:szCs w:val="28"/>
        </w:rPr>
        <w:t xml:space="preserve"> </w:t>
      </w:r>
      <w:r w:rsidR="00D95FE0" w:rsidRPr="00120480">
        <w:rPr>
          <w:sz w:val="28"/>
          <w:szCs w:val="28"/>
        </w:rPr>
        <w:t>при ее расчете</w:t>
      </w:r>
      <w:r w:rsidR="00B03419" w:rsidRPr="00120480">
        <w:rPr>
          <w:sz w:val="28"/>
          <w:szCs w:val="28"/>
        </w:rPr>
        <w:t xml:space="preserve"> в том числе</w:t>
      </w:r>
      <w:r w:rsidR="00120480" w:rsidRPr="00120480">
        <w:rPr>
          <w:sz w:val="28"/>
          <w:szCs w:val="28"/>
        </w:rPr>
        <w:t xml:space="preserve"> </w:t>
      </w:r>
      <w:r w:rsidR="00D95FE0" w:rsidRPr="00120480">
        <w:rPr>
          <w:sz w:val="28"/>
          <w:szCs w:val="28"/>
        </w:rPr>
        <w:t>учитыва</w:t>
      </w:r>
      <w:r w:rsidRPr="00120480">
        <w:rPr>
          <w:sz w:val="28"/>
          <w:szCs w:val="28"/>
        </w:rPr>
        <w:t>ются</w:t>
      </w:r>
      <w:r w:rsidR="00D95FE0" w:rsidRPr="00120480">
        <w:rPr>
          <w:sz w:val="28"/>
          <w:szCs w:val="28"/>
        </w:rPr>
        <w:t xml:space="preserve"> зачетные схемы застройщиков, используемые при покупке земельных участков, оплата по которым проводилась посредством заключения ДДУ по ценам ниже рыночной либо при расчете с подрядными организациями за выполненные работы</w:t>
      </w:r>
      <w:r w:rsidRPr="00120480">
        <w:rPr>
          <w:sz w:val="28"/>
          <w:szCs w:val="28"/>
        </w:rPr>
        <w:t xml:space="preserve"> или предоставленные услуги.</w:t>
      </w:r>
      <w:r w:rsidR="00B03419" w:rsidRPr="00120480">
        <w:rPr>
          <w:sz w:val="28"/>
          <w:szCs w:val="28"/>
        </w:rPr>
        <w:t xml:space="preserve"> Реальную цену </w:t>
      </w:r>
      <w:proofErr w:type="spellStart"/>
      <w:proofErr w:type="gramStart"/>
      <w:r w:rsidR="00B03419" w:rsidRPr="00120480">
        <w:rPr>
          <w:sz w:val="28"/>
          <w:szCs w:val="28"/>
        </w:rPr>
        <w:t>кв.метра</w:t>
      </w:r>
      <w:proofErr w:type="spellEnd"/>
      <w:proofErr w:type="gramEnd"/>
      <w:r w:rsidR="00B03419" w:rsidRPr="00120480">
        <w:rPr>
          <w:sz w:val="28"/>
          <w:szCs w:val="28"/>
        </w:rPr>
        <w:t xml:space="preserve"> необходимо выводить</w:t>
      </w:r>
      <w:r w:rsidR="00253325" w:rsidRPr="00120480">
        <w:rPr>
          <w:sz w:val="28"/>
          <w:szCs w:val="28"/>
        </w:rPr>
        <w:t xml:space="preserve"> в том числе</w:t>
      </w:r>
      <w:r w:rsidR="00B03419" w:rsidRPr="00120480">
        <w:rPr>
          <w:sz w:val="28"/>
          <w:szCs w:val="28"/>
        </w:rPr>
        <w:t xml:space="preserve"> с учетом цен по договорам уступок</w:t>
      </w:r>
      <w:r w:rsidR="003E4E37" w:rsidRPr="00120480">
        <w:rPr>
          <w:sz w:val="28"/>
          <w:szCs w:val="28"/>
        </w:rPr>
        <w:t xml:space="preserve"> прав требований</w:t>
      </w:r>
      <w:r w:rsidR="00D95FE0" w:rsidRPr="00120480">
        <w:rPr>
          <w:sz w:val="28"/>
          <w:szCs w:val="28"/>
        </w:rPr>
        <w:t>.</w:t>
      </w:r>
      <w:r w:rsidR="00B03419" w:rsidRPr="00120480">
        <w:rPr>
          <w:sz w:val="28"/>
          <w:szCs w:val="28"/>
        </w:rPr>
        <w:t xml:space="preserve"> Полагаем, что данные значения будут</w:t>
      </w:r>
      <w:r w:rsidR="00253325" w:rsidRPr="00120480">
        <w:rPr>
          <w:sz w:val="28"/>
          <w:szCs w:val="28"/>
        </w:rPr>
        <w:t xml:space="preserve"> на</w:t>
      </w:r>
      <w:r w:rsidR="00B03419" w:rsidRPr="00120480">
        <w:rPr>
          <w:sz w:val="28"/>
          <w:szCs w:val="28"/>
        </w:rPr>
        <w:t xml:space="preserve"> 10 – 15% выше, чем</w:t>
      </w:r>
      <w:r w:rsidR="00120480" w:rsidRPr="00120480">
        <w:rPr>
          <w:sz w:val="28"/>
          <w:szCs w:val="28"/>
        </w:rPr>
        <w:t xml:space="preserve"> </w:t>
      </w:r>
      <w:r w:rsidR="00B03419" w:rsidRPr="00120480">
        <w:rPr>
          <w:sz w:val="28"/>
          <w:szCs w:val="28"/>
        </w:rPr>
        <w:t>рассчитанный показатель Службой.</w:t>
      </w:r>
      <w:r w:rsidR="00120480" w:rsidRPr="00120480">
        <w:rPr>
          <w:sz w:val="28"/>
          <w:szCs w:val="28"/>
        </w:rPr>
        <w:t xml:space="preserve"> </w:t>
      </w:r>
    </w:p>
    <w:p w14:paraId="6FD3F986" w14:textId="75AB3CA7" w:rsidR="004B4A21" w:rsidRDefault="004B4A21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80">
        <w:rPr>
          <w:rFonts w:ascii="Times New Roman" w:hAnsi="Times New Roman" w:cs="Times New Roman"/>
          <w:sz w:val="28"/>
          <w:szCs w:val="28"/>
        </w:rPr>
        <w:t>Сам</w:t>
      </w:r>
      <w:r w:rsidR="00460A33" w:rsidRPr="00120480">
        <w:rPr>
          <w:rFonts w:ascii="Times New Roman" w:hAnsi="Times New Roman" w:cs="Times New Roman"/>
          <w:sz w:val="28"/>
          <w:szCs w:val="28"/>
        </w:rPr>
        <w:t>ые</w:t>
      </w:r>
      <w:r w:rsidRPr="00120480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460A33" w:rsidRPr="00120480">
        <w:rPr>
          <w:rFonts w:ascii="Times New Roman" w:hAnsi="Times New Roman" w:cs="Times New Roman"/>
          <w:sz w:val="28"/>
          <w:szCs w:val="28"/>
        </w:rPr>
        <w:t>ие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E36128" w:rsidRPr="00120480">
        <w:rPr>
          <w:rFonts w:ascii="Times New Roman" w:hAnsi="Times New Roman" w:cs="Times New Roman"/>
          <w:sz w:val="28"/>
          <w:szCs w:val="28"/>
        </w:rPr>
        <w:t xml:space="preserve">средние </w:t>
      </w:r>
      <w:r w:rsidRPr="00120480">
        <w:rPr>
          <w:rFonts w:ascii="Times New Roman" w:hAnsi="Times New Roman" w:cs="Times New Roman"/>
          <w:sz w:val="28"/>
          <w:szCs w:val="28"/>
        </w:rPr>
        <w:t>цен</w:t>
      </w:r>
      <w:r w:rsidR="00460A33" w:rsidRPr="00120480">
        <w:rPr>
          <w:rFonts w:ascii="Times New Roman" w:hAnsi="Times New Roman" w:cs="Times New Roman"/>
          <w:sz w:val="28"/>
          <w:szCs w:val="28"/>
        </w:rPr>
        <w:t>ы</w:t>
      </w:r>
      <w:r w:rsidRPr="0012048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A605D" w:rsidRPr="00120480">
        <w:rPr>
          <w:rFonts w:ascii="Times New Roman" w:hAnsi="Times New Roman" w:cs="Times New Roman"/>
          <w:sz w:val="28"/>
          <w:szCs w:val="28"/>
        </w:rPr>
        <w:t>квадратного метра жилья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4B0DF0" w:rsidRPr="00120480">
        <w:rPr>
          <w:rFonts w:ascii="Times New Roman" w:hAnsi="Times New Roman" w:cs="Times New Roman"/>
          <w:sz w:val="28"/>
          <w:szCs w:val="28"/>
        </w:rPr>
        <w:t>продолжают держать застройщики, входящие в ГК «</w:t>
      </w:r>
      <w:proofErr w:type="spellStart"/>
      <w:r w:rsidR="004B0DF0" w:rsidRPr="00120480">
        <w:rPr>
          <w:rFonts w:ascii="Times New Roman" w:hAnsi="Times New Roman" w:cs="Times New Roman"/>
          <w:sz w:val="28"/>
          <w:szCs w:val="28"/>
        </w:rPr>
        <w:t>Арбан</w:t>
      </w:r>
      <w:proofErr w:type="spellEnd"/>
      <w:r w:rsidR="004B0DF0" w:rsidRPr="00120480">
        <w:rPr>
          <w:rFonts w:ascii="Times New Roman" w:hAnsi="Times New Roman" w:cs="Times New Roman"/>
          <w:sz w:val="28"/>
          <w:szCs w:val="28"/>
        </w:rPr>
        <w:t xml:space="preserve">», здесь стоимость квадратного метра в отдельных объектах </w:t>
      </w:r>
      <w:r w:rsidR="006400F6" w:rsidRPr="00120480">
        <w:rPr>
          <w:rFonts w:ascii="Times New Roman" w:hAnsi="Times New Roman" w:cs="Times New Roman"/>
          <w:sz w:val="28"/>
          <w:szCs w:val="28"/>
        </w:rPr>
        <w:t xml:space="preserve">варьируется от </w:t>
      </w:r>
      <w:r w:rsidR="004B0DF0" w:rsidRPr="00120480">
        <w:rPr>
          <w:rFonts w:ascii="Times New Roman" w:hAnsi="Times New Roman" w:cs="Times New Roman"/>
          <w:sz w:val="28"/>
          <w:szCs w:val="28"/>
        </w:rPr>
        <w:t>18</w:t>
      </w:r>
      <w:r w:rsidR="006400F6" w:rsidRPr="00120480">
        <w:rPr>
          <w:rFonts w:ascii="Times New Roman" w:hAnsi="Times New Roman" w:cs="Times New Roman"/>
          <w:sz w:val="28"/>
          <w:szCs w:val="28"/>
        </w:rPr>
        <w:t>3 до 190</w:t>
      </w:r>
      <w:r w:rsidR="004B0DF0" w:rsidRPr="001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DF0" w:rsidRPr="0012048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B0DF0" w:rsidRPr="00120480">
        <w:rPr>
          <w:rFonts w:ascii="Times New Roman" w:hAnsi="Times New Roman" w:cs="Times New Roman"/>
          <w:sz w:val="28"/>
          <w:szCs w:val="28"/>
        </w:rPr>
        <w:t xml:space="preserve"> за квадрат, также отмечаются высоки цены </w:t>
      </w:r>
      <w:r w:rsidR="0030657B" w:rsidRPr="00120480">
        <w:rPr>
          <w:rFonts w:ascii="Times New Roman" w:hAnsi="Times New Roman" w:cs="Times New Roman"/>
          <w:sz w:val="28"/>
          <w:szCs w:val="28"/>
        </w:rPr>
        <w:t>в объектах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B07AC9" w:rsidRPr="00120480">
        <w:rPr>
          <w:rFonts w:ascii="Times New Roman" w:hAnsi="Times New Roman" w:cs="Times New Roman"/>
          <w:sz w:val="28"/>
          <w:szCs w:val="28"/>
        </w:rPr>
        <w:t>ООО СЗ «Нов</w:t>
      </w:r>
      <w:r w:rsidR="006400F6" w:rsidRPr="00120480">
        <w:rPr>
          <w:rFonts w:ascii="Times New Roman" w:hAnsi="Times New Roman" w:cs="Times New Roman"/>
          <w:sz w:val="28"/>
          <w:szCs w:val="28"/>
        </w:rPr>
        <w:t>ый город</w:t>
      </w:r>
      <w:r w:rsidR="00B07AC9" w:rsidRPr="00120480">
        <w:rPr>
          <w:rFonts w:ascii="Times New Roman" w:hAnsi="Times New Roman" w:cs="Times New Roman"/>
          <w:sz w:val="28"/>
          <w:szCs w:val="28"/>
        </w:rPr>
        <w:t>»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400F6" w:rsidRPr="00120480">
        <w:rPr>
          <w:rFonts w:ascii="Times New Roman" w:hAnsi="Times New Roman" w:cs="Times New Roman"/>
          <w:sz w:val="28"/>
          <w:szCs w:val="28"/>
        </w:rPr>
        <w:t>в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B07AC9" w:rsidRPr="00120480">
        <w:rPr>
          <w:rFonts w:ascii="Times New Roman" w:hAnsi="Times New Roman" w:cs="Times New Roman"/>
          <w:sz w:val="28"/>
          <w:szCs w:val="28"/>
        </w:rPr>
        <w:t>ЖК</w:t>
      </w:r>
      <w:r w:rsidR="006400F6" w:rsidRPr="0012048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400F6" w:rsidRPr="00120480">
        <w:rPr>
          <w:rFonts w:ascii="Times New Roman" w:hAnsi="Times New Roman" w:cs="Times New Roman"/>
          <w:sz w:val="28"/>
          <w:szCs w:val="28"/>
        </w:rPr>
        <w:t>ул.Взлетная</w:t>
      </w:r>
      <w:proofErr w:type="spellEnd"/>
      <w:r w:rsidR="006400F6" w:rsidRPr="00120480">
        <w:rPr>
          <w:rFonts w:ascii="Times New Roman" w:hAnsi="Times New Roman" w:cs="Times New Roman"/>
          <w:sz w:val="28"/>
          <w:szCs w:val="28"/>
        </w:rPr>
        <w:t xml:space="preserve"> – 172, </w:t>
      </w:r>
      <w:proofErr w:type="spellStart"/>
      <w:r w:rsidR="006400F6" w:rsidRPr="0012048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6400F6" w:rsidRPr="00120480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="006400F6" w:rsidRPr="00120480">
        <w:rPr>
          <w:rFonts w:ascii="Times New Roman" w:hAnsi="Times New Roman" w:cs="Times New Roman"/>
          <w:sz w:val="28"/>
          <w:szCs w:val="28"/>
        </w:rPr>
        <w:t>кв.метр</w:t>
      </w:r>
      <w:proofErr w:type="spellEnd"/>
      <w:r w:rsidR="006400F6" w:rsidRPr="00120480">
        <w:rPr>
          <w:rFonts w:ascii="Times New Roman" w:hAnsi="Times New Roman" w:cs="Times New Roman"/>
          <w:sz w:val="28"/>
          <w:szCs w:val="28"/>
        </w:rPr>
        <w:t>.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E91264" w:rsidRPr="00120480">
        <w:rPr>
          <w:rFonts w:ascii="Times New Roman" w:hAnsi="Times New Roman" w:cs="Times New Roman"/>
          <w:sz w:val="28"/>
          <w:szCs w:val="28"/>
        </w:rPr>
        <w:t xml:space="preserve">При мониторинге средних цен на жилье установлено, что 17 жилых комплексов в </w:t>
      </w:r>
      <w:proofErr w:type="spellStart"/>
      <w:r w:rsidR="00E91264" w:rsidRPr="00120480">
        <w:rPr>
          <w:rFonts w:ascii="Times New Roman" w:hAnsi="Times New Roman" w:cs="Times New Roman"/>
          <w:sz w:val="28"/>
          <w:szCs w:val="28"/>
        </w:rPr>
        <w:t>г.Красноярске</w:t>
      </w:r>
      <w:proofErr w:type="spellEnd"/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E91264" w:rsidRPr="00120480">
        <w:rPr>
          <w:rFonts w:ascii="Times New Roman" w:hAnsi="Times New Roman" w:cs="Times New Roman"/>
          <w:sz w:val="28"/>
          <w:szCs w:val="28"/>
        </w:rPr>
        <w:t xml:space="preserve">реализуются по ценам, где 1 квадратный метр жилья превышает 150 </w:t>
      </w:r>
      <w:proofErr w:type="spellStart"/>
      <w:proofErr w:type="gramStart"/>
      <w:r w:rsidR="00E91264" w:rsidRPr="0012048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="00E91264" w:rsidRPr="00120480">
        <w:rPr>
          <w:rFonts w:ascii="Times New Roman" w:hAnsi="Times New Roman" w:cs="Times New Roman"/>
          <w:sz w:val="28"/>
          <w:szCs w:val="28"/>
        </w:rPr>
        <w:t xml:space="preserve"> за квадрат.</w:t>
      </w:r>
    </w:p>
    <w:p w14:paraId="30D418FF" w14:textId="77777777" w:rsidR="00120480" w:rsidRDefault="00120480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8CC82F" w14:textId="77777777" w:rsidR="00120480" w:rsidRPr="008665DA" w:rsidRDefault="00120480" w:rsidP="00120480">
      <w:pPr>
        <w:pStyle w:val="af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EA52B1">
        <w:rPr>
          <w:rFonts w:ascii="Times New Roman" w:hAnsi="Times New Roman" w:cs="Times New Roman"/>
          <w:b/>
          <w:bCs/>
          <w:sz w:val="27"/>
          <w:szCs w:val="27"/>
        </w:rPr>
        <w:t>Суммарный размер стоимости заключенных ДДУ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  <w:t xml:space="preserve">по жилым помещениям, </w:t>
      </w:r>
      <w:r w:rsidRPr="00EA52B1">
        <w:rPr>
          <w:rFonts w:ascii="Times New Roman" w:hAnsi="Times New Roman" w:cs="Times New Roman"/>
          <w:b/>
          <w:bCs/>
          <w:sz w:val="27"/>
          <w:szCs w:val="27"/>
        </w:rPr>
        <w:t>по периодам</w:t>
      </w:r>
    </w:p>
    <w:p w14:paraId="6478EB6E" w14:textId="5A55D290" w:rsidR="00120480" w:rsidRDefault="00120480" w:rsidP="0012048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7BBFDF" wp14:editId="3083FE8C">
            <wp:extent cx="5939790" cy="3863340"/>
            <wp:effectExtent l="0" t="0" r="3810" b="3810"/>
            <wp:docPr id="128080483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206889A-07B6-4BED-BF54-CA492BE2E9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DF695A" w14:textId="2A0C45D8" w:rsidR="007D42C6" w:rsidRPr="00120480" w:rsidRDefault="009662F0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80">
        <w:rPr>
          <w:rFonts w:ascii="Times New Roman" w:hAnsi="Times New Roman" w:cs="Times New Roman"/>
          <w:sz w:val="28"/>
          <w:szCs w:val="28"/>
        </w:rPr>
        <w:t>С</w:t>
      </w:r>
      <w:r w:rsidR="00C52901" w:rsidRPr="00120480">
        <w:rPr>
          <w:rFonts w:ascii="Times New Roman" w:hAnsi="Times New Roman" w:cs="Times New Roman"/>
          <w:sz w:val="28"/>
          <w:szCs w:val="28"/>
        </w:rPr>
        <w:t xml:space="preserve">уммарный размер </w:t>
      </w:r>
      <w:r w:rsidR="005E20F0" w:rsidRPr="00120480">
        <w:rPr>
          <w:rFonts w:ascii="Times New Roman" w:hAnsi="Times New Roman" w:cs="Times New Roman"/>
          <w:sz w:val="28"/>
          <w:szCs w:val="28"/>
        </w:rPr>
        <w:t xml:space="preserve">цены всех </w:t>
      </w:r>
      <w:r w:rsidR="002C7674" w:rsidRPr="00120480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DE32E9" w:rsidRPr="00120480">
        <w:rPr>
          <w:rFonts w:ascii="Times New Roman" w:hAnsi="Times New Roman" w:cs="Times New Roman"/>
          <w:sz w:val="28"/>
          <w:szCs w:val="28"/>
        </w:rPr>
        <w:t>ДДУ</w:t>
      </w:r>
      <w:r w:rsidR="00D74444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EE409E" w:rsidRPr="00120480">
        <w:rPr>
          <w:rFonts w:ascii="Times New Roman" w:hAnsi="Times New Roman" w:cs="Times New Roman"/>
          <w:sz w:val="28"/>
          <w:szCs w:val="28"/>
        </w:rPr>
        <w:t>в отношении жилых помещений в марте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EE409E" w:rsidRPr="00120480">
        <w:rPr>
          <w:rFonts w:ascii="Times New Roman" w:hAnsi="Times New Roman" w:cs="Times New Roman"/>
          <w:sz w:val="28"/>
          <w:szCs w:val="28"/>
        </w:rPr>
        <w:t xml:space="preserve">2024г. составил </w:t>
      </w:r>
      <w:r w:rsidR="00EE409E" w:rsidRPr="00120480">
        <w:rPr>
          <w:rFonts w:ascii="Times New Roman" w:hAnsi="Times New Roman" w:cs="Times New Roman"/>
          <w:b/>
          <w:bCs/>
          <w:sz w:val="28"/>
          <w:szCs w:val="28"/>
        </w:rPr>
        <w:t>4,134</w:t>
      </w:r>
      <w:r w:rsidR="00EE409E" w:rsidRPr="001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E409E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proofErr w:type="gramEnd"/>
      <w:r w:rsidR="00EE409E" w:rsidRPr="00120480">
        <w:rPr>
          <w:rFonts w:ascii="Times New Roman" w:hAnsi="Times New Roman" w:cs="Times New Roman"/>
          <w:sz w:val="28"/>
          <w:szCs w:val="28"/>
        </w:rPr>
        <w:t xml:space="preserve">, </w:t>
      </w:r>
      <w:r w:rsidRPr="00120480">
        <w:rPr>
          <w:rFonts w:ascii="Times New Roman" w:hAnsi="Times New Roman" w:cs="Times New Roman"/>
          <w:sz w:val="28"/>
          <w:szCs w:val="28"/>
        </w:rPr>
        <w:t xml:space="preserve">в </w:t>
      </w:r>
      <w:r w:rsidR="00691D2B" w:rsidRPr="00120480">
        <w:rPr>
          <w:rFonts w:ascii="Times New Roman" w:hAnsi="Times New Roman" w:cs="Times New Roman"/>
          <w:sz w:val="28"/>
          <w:szCs w:val="28"/>
        </w:rPr>
        <w:t>феврале</w:t>
      </w:r>
      <w:r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91D2B" w:rsidRPr="00120480">
        <w:rPr>
          <w:rFonts w:ascii="Times New Roman" w:hAnsi="Times New Roman" w:cs="Times New Roman"/>
          <w:sz w:val="28"/>
          <w:szCs w:val="28"/>
        </w:rPr>
        <w:t>2024г</w:t>
      </w:r>
      <w:r w:rsidR="00EE409E" w:rsidRPr="00120480">
        <w:rPr>
          <w:rFonts w:ascii="Times New Roman" w:hAnsi="Times New Roman" w:cs="Times New Roman"/>
          <w:sz w:val="28"/>
          <w:szCs w:val="28"/>
        </w:rPr>
        <w:t xml:space="preserve"> этот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EE409E" w:rsidRPr="00120480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120480">
        <w:rPr>
          <w:rFonts w:ascii="Times New Roman" w:hAnsi="Times New Roman" w:cs="Times New Roman"/>
          <w:sz w:val="28"/>
          <w:szCs w:val="28"/>
        </w:rPr>
        <w:t>состав</w:t>
      </w:r>
      <w:r w:rsidR="00EE409E" w:rsidRPr="00120480">
        <w:rPr>
          <w:rFonts w:ascii="Times New Roman" w:hAnsi="Times New Roman" w:cs="Times New Roman"/>
          <w:sz w:val="28"/>
          <w:szCs w:val="28"/>
        </w:rPr>
        <w:t>лял</w:t>
      </w:r>
      <w:r w:rsidR="00691D2B" w:rsidRPr="00120480">
        <w:rPr>
          <w:rFonts w:ascii="Times New Roman" w:hAnsi="Times New Roman" w:cs="Times New Roman"/>
          <w:sz w:val="28"/>
          <w:szCs w:val="28"/>
        </w:rPr>
        <w:t xml:space="preserve"> 2,686 </w:t>
      </w:r>
      <w:proofErr w:type="spellStart"/>
      <w:r w:rsidR="00691D2B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r w:rsidR="00691D2B" w:rsidRPr="00120480">
        <w:rPr>
          <w:rFonts w:ascii="Times New Roman" w:hAnsi="Times New Roman" w:cs="Times New Roman"/>
          <w:sz w:val="28"/>
          <w:szCs w:val="28"/>
        </w:rPr>
        <w:t xml:space="preserve">, </w:t>
      </w:r>
      <w:r w:rsidR="00EE409E" w:rsidRPr="00120480">
        <w:rPr>
          <w:rFonts w:ascii="Times New Roman" w:hAnsi="Times New Roman" w:cs="Times New Roman"/>
          <w:sz w:val="28"/>
          <w:szCs w:val="28"/>
        </w:rPr>
        <w:t xml:space="preserve">а в </w:t>
      </w:r>
      <w:r w:rsidR="00691D2B" w:rsidRPr="00120480">
        <w:rPr>
          <w:rFonts w:ascii="Times New Roman" w:hAnsi="Times New Roman" w:cs="Times New Roman"/>
          <w:sz w:val="28"/>
          <w:szCs w:val="28"/>
        </w:rPr>
        <w:t>январ</w:t>
      </w:r>
      <w:r w:rsidR="00EE409E" w:rsidRPr="00120480">
        <w:rPr>
          <w:rFonts w:ascii="Times New Roman" w:hAnsi="Times New Roman" w:cs="Times New Roman"/>
          <w:sz w:val="28"/>
          <w:szCs w:val="28"/>
        </w:rPr>
        <w:t>е</w:t>
      </w:r>
      <w:r w:rsidR="00691D2B" w:rsidRPr="00120480">
        <w:rPr>
          <w:rFonts w:ascii="Times New Roman" w:hAnsi="Times New Roman" w:cs="Times New Roman"/>
          <w:sz w:val="28"/>
          <w:szCs w:val="28"/>
        </w:rPr>
        <w:t xml:space="preserve"> -</w:t>
      </w:r>
      <w:r w:rsidRPr="00120480">
        <w:rPr>
          <w:rFonts w:ascii="Times New Roman" w:hAnsi="Times New Roman" w:cs="Times New Roman"/>
          <w:sz w:val="28"/>
          <w:szCs w:val="28"/>
        </w:rPr>
        <w:t xml:space="preserve"> 3,</w:t>
      </w:r>
      <w:r w:rsidR="007F3901" w:rsidRPr="00120480">
        <w:rPr>
          <w:rFonts w:ascii="Times New Roman" w:hAnsi="Times New Roman" w:cs="Times New Roman"/>
          <w:sz w:val="28"/>
          <w:szCs w:val="28"/>
        </w:rPr>
        <w:t xml:space="preserve">955 </w:t>
      </w:r>
      <w:proofErr w:type="spellStart"/>
      <w:r w:rsidR="007F3901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r w:rsidR="007F3901" w:rsidRPr="00120480">
        <w:rPr>
          <w:rFonts w:ascii="Times New Roman" w:hAnsi="Times New Roman" w:cs="Times New Roman"/>
          <w:sz w:val="28"/>
          <w:szCs w:val="28"/>
        </w:rPr>
        <w:t>.</w:t>
      </w:r>
      <w:r w:rsidR="00DE32E9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2C7674" w:rsidRPr="00120480">
        <w:rPr>
          <w:rFonts w:ascii="Times New Roman" w:hAnsi="Times New Roman" w:cs="Times New Roman"/>
          <w:sz w:val="28"/>
          <w:szCs w:val="28"/>
        </w:rPr>
        <w:lastRenderedPageBreak/>
        <w:t>Суммарный объем обязательств по всем действующим ДДУ заключенным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2C7674" w:rsidRPr="00120480">
        <w:rPr>
          <w:rFonts w:ascii="Times New Roman" w:hAnsi="Times New Roman" w:cs="Times New Roman"/>
          <w:sz w:val="28"/>
          <w:szCs w:val="28"/>
        </w:rPr>
        <w:t>в отношении</w:t>
      </w:r>
      <w:r w:rsidR="00691D2B" w:rsidRPr="00120480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2C7674" w:rsidRPr="00120480">
        <w:rPr>
          <w:rFonts w:ascii="Times New Roman" w:hAnsi="Times New Roman" w:cs="Times New Roman"/>
          <w:sz w:val="28"/>
          <w:szCs w:val="28"/>
        </w:rPr>
        <w:t xml:space="preserve">, строительство которых не завершено, по состоянию на </w:t>
      </w:r>
      <w:r w:rsidR="00EE409E" w:rsidRPr="00120480">
        <w:rPr>
          <w:rFonts w:ascii="Times New Roman" w:hAnsi="Times New Roman" w:cs="Times New Roman"/>
          <w:sz w:val="28"/>
          <w:szCs w:val="28"/>
        </w:rPr>
        <w:t>31</w:t>
      </w:r>
      <w:r w:rsidR="002C7674" w:rsidRPr="00120480">
        <w:rPr>
          <w:rFonts w:ascii="Times New Roman" w:hAnsi="Times New Roman" w:cs="Times New Roman"/>
          <w:sz w:val="28"/>
          <w:szCs w:val="28"/>
        </w:rPr>
        <w:t>.</w:t>
      </w:r>
      <w:r w:rsidR="007F3901" w:rsidRPr="00120480">
        <w:rPr>
          <w:rFonts w:ascii="Times New Roman" w:hAnsi="Times New Roman" w:cs="Times New Roman"/>
          <w:sz w:val="28"/>
          <w:szCs w:val="28"/>
        </w:rPr>
        <w:t>0</w:t>
      </w:r>
      <w:r w:rsidR="00EE409E" w:rsidRPr="00120480">
        <w:rPr>
          <w:rFonts w:ascii="Times New Roman" w:hAnsi="Times New Roman" w:cs="Times New Roman"/>
          <w:sz w:val="28"/>
          <w:szCs w:val="28"/>
        </w:rPr>
        <w:t>3</w:t>
      </w:r>
      <w:r w:rsidR="002C7674" w:rsidRPr="00120480">
        <w:rPr>
          <w:rFonts w:ascii="Times New Roman" w:hAnsi="Times New Roman" w:cs="Times New Roman"/>
          <w:sz w:val="28"/>
          <w:szCs w:val="28"/>
        </w:rPr>
        <w:t>.202</w:t>
      </w:r>
      <w:r w:rsidR="007F3901" w:rsidRPr="00120480">
        <w:rPr>
          <w:rFonts w:ascii="Times New Roman" w:hAnsi="Times New Roman" w:cs="Times New Roman"/>
          <w:sz w:val="28"/>
          <w:szCs w:val="28"/>
        </w:rPr>
        <w:t>4</w:t>
      </w:r>
      <w:r w:rsidR="002C7674" w:rsidRPr="00120480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906BB" w:rsidRPr="00120480"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="002C7674" w:rsidRPr="001204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906BB" w:rsidRPr="00120480">
        <w:rPr>
          <w:rFonts w:ascii="Times New Roman" w:hAnsi="Times New Roman" w:cs="Times New Roman"/>
          <w:b/>
          <w:bCs/>
          <w:sz w:val="28"/>
          <w:szCs w:val="28"/>
        </w:rPr>
        <w:t>517</w:t>
      </w:r>
      <w:r w:rsidR="002C7674" w:rsidRPr="001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C7674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proofErr w:type="gramEnd"/>
      <w:r w:rsidR="00691D2B" w:rsidRPr="00120480">
        <w:rPr>
          <w:rFonts w:ascii="Times New Roman" w:hAnsi="Times New Roman" w:cs="Times New Roman"/>
          <w:sz w:val="28"/>
          <w:szCs w:val="28"/>
        </w:rPr>
        <w:t xml:space="preserve">. С учетом нежилых помещений суммарный размер всех обязательств застройщиков по итогам февраля оценивается </w:t>
      </w:r>
      <w:r w:rsidR="00691D2B" w:rsidRPr="0012048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906BB" w:rsidRPr="0012048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91D2B" w:rsidRPr="001204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906BB" w:rsidRPr="00120480">
        <w:rPr>
          <w:rFonts w:ascii="Times New Roman" w:hAnsi="Times New Roman" w:cs="Times New Roman"/>
          <w:b/>
          <w:bCs/>
          <w:sz w:val="28"/>
          <w:szCs w:val="28"/>
        </w:rPr>
        <w:t>281</w:t>
      </w:r>
      <w:r w:rsidR="00691D2B" w:rsidRPr="001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1D2B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proofErr w:type="gramEnd"/>
      <w:r w:rsidR="00691D2B" w:rsidRPr="00120480">
        <w:rPr>
          <w:rFonts w:ascii="Times New Roman" w:hAnsi="Times New Roman" w:cs="Times New Roman"/>
          <w:sz w:val="28"/>
          <w:szCs w:val="28"/>
        </w:rPr>
        <w:t>.</w:t>
      </w:r>
      <w:r w:rsidR="006906BB" w:rsidRPr="0012048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906BB" w:rsidRPr="00120480">
        <w:rPr>
          <w:rFonts w:ascii="Times New Roman" w:hAnsi="Times New Roman" w:cs="Times New Roman"/>
          <w:sz w:val="28"/>
          <w:szCs w:val="28"/>
        </w:rPr>
        <w:t>суммартная</w:t>
      </w:r>
      <w:proofErr w:type="spellEnd"/>
      <w:r w:rsidR="006906BB" w:rsidRPr="00120480">
        <w:rPr>
          <w:rFonts w:ascii="Times New Roman" w:hAnsi="Times New Roman" w:cs="Times New Roman"/>
          <w:sz w:val="28"/>
          <w:szCs w:val="28"/>
        </w:rPr>
        <w:t xml:space="preserve"> цена ДДУ по нежилым помещениям 5,764 </w:t>
      </w:r>
      <w:proofErr w:type="spellStart"/>
      <w:proofErr w:type="gramStart"/>
      <w:r w:rsidR="006906BB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proofErr w:type="gramEnd"/>
      <w:r w:rsidR="006906BB" w:rsidRPr="00120480">
        <w:rPr>
          <w:rFonts w:ascii="Times New Roman" w:hAnsi="Times New Roman" w:cs="Times New Roman"/>
          <w:sz w:val="28"/>
          <w:szCs w:val="28"/>
        </w:rPr>
        <w:t>).</w:t>
      </w:r>
    </w:p>
    <w:p w14:paraId="24AD0920" w14:textId="5EE9EFCC" w:rsidR="008D2889" w:rsidRDefault="00D74444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80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906BB" w:rsidRPr="00120480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120480">
        <w:rPr>
          <w:rFonts w:ascii="Times New Roman" w:hAnsi="Times New Roman" w:cs="Times New Roman"/>
          <w:sz w:val="28"/>
          <w:szCs w:val="28"/>
        </w:rPr>
        <w:t>202</w:t>
      </w:r>
      <w:r w:rsidR="007F3901" w:rsidRPr="00120480">
        <w:rPr>
          <w:rFonts w:ascii="Times New Roman" w:hAnsi="Times New Roman" w:cs="Times New Roman"/>
          <w:sz w:val="28"/>
          <w:szCs w:val="28"/>
        </w:rPr>
        <w:t>4</w:t>
      </w:r>
      <w:r w:rsidRPr="00120480">
        <w:rPr>
          <w:rFonts w:ascii="Times New Roman" w:hAnsi="Times New Roman" w:cs="Times New Roman"/>
          <w:sz w:val="28"/>
          <w:szCs w:val="28"/>
        </w:rPr>
        <w:t xml:space="preserve"> г. </w:t>
      </w:r>
      <w:r w:rsidR="006906BB" w:rsidRPr="00120480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120480">
        <w:rPr>
          <w:rFonts w:ascii="Times New Roman" w:hAnsi="Times New Roman" w:cs="Times New Roman"/>
          <w:sz w:val="28"/>
          <w:szCs w:val="28"/>
        </w:rPr>
        <w:t>размер кредитных средств, привлекаемых застройщиками на строительство МКД. Из 12</w:t>
      </w:r>
      <w:r w:rsidR="005E16DC" w:rsidRPr="00120480">
        <w:rPr>
          <w:rFonts w:ascii="Times New Roman" w:hAnsi="Times New Roman" w:cs="Times New Roman"/>
          <w:sz w:val="28"/>
          <w:szCs w:val="28"/>
        </w:rPr>
        <w:t>2</w:t>
      </w:r>
      <w:r w:rsidRPr="00120480">
        <w:rPr>
          <w:rFonts w:ascii="Times New Roman" w:hAnsi="Times New Roman" w:cs="Times New Roman"/>
          <w:sz w:val="28"/>
          <w:szCs w:val="28"/>
        </w:rPr>
        <w:t xml:space="preserve"> МКД, строительство которых на конец </w:t>
      </w:r>
      <w:r w:rsidR="000860E3" w:rsidRPr="00120480">
        <w:rPr>
          <w:rFonts w:ascii="Times New Roman" w:hAnsi="Times New Roman" w:cs="Times New Roman"/>
          <w:sz w:val="28"/>
          <w:szCs w:val="28"/>
        </w:rPr>
        <w:t>февраля</w:t>
      </w:r>
      <w:r w:rsidR="007A4D98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Pr="00120480">
        <w:rPr>
          <w:rFonts w:ascii="Times New Roman" w:hAnsi="Times New Roman" w:cs="Times New Roman"/>
          <w:sz w:val="28"/>
          <w:szCs w:val="28"/>
        </w:rPr>
        <w:t>202</w:t>
      </w:r>
      <w:r w:rsidR="007A4D98" w:rsidRPr="00120480">
        <w:rPr>
          <w:rFonts w:ascii="Times New Roman" w:hAnsi="Times New Roman" w:cs="Times New Roman"/>
          <w:sz w:val="28"/>
          <w:szCs w:val="28"/>
        </w:rPr>
        <w:t>4</w:t>
      </w:r>
      <w:r w:rsidRPr="00120480">
        <w:rPr>
          <w:rFonts w:ascii="Times New Roman" w:hAnsi="Times New Roman" w:cs="Times New Roman"/>
          <w:sz w:val="28"/>
          <w:szCs w:val="28"/>
        </w:rPr>
        <w:t xml:space="preserve">г. не было завершено, застройщиками открыты кредитные линии на строительство </w:t>
      </w:r>
      <w:r w:rsidR="00F0174A" w:rsidRPr="00120480">
        <w:rPr>
          <w:rFonts w:ascii="Times New Roman" w:hAnsi="Times New Roman" w:cs="Times New Roman"/>
          <w:sz w:val="28"/>
          <w:szCs w:val="28"/>
        </w:rPr>
        <w:t>9</w:t>
      </w:r>
      <w:r w:rsidR="005E16DC" w:rsidRPr="00120480">
        <w:rPr>
          <w:rFonts w:ascii="Times New Roman" w:hAnsi="Times New Roman" w:cs="Times New Roman"/>
          <w:sz w:val="28"/>
          <w:szCs w:val="28"/>
        </w:rPr>
        <w:t>5</w:t>
      </w:r>
      <w:r w:rsidRPr="00120480">
        <w:rPr>
          <w:rFonts w:ascii="Times New Roman" w:hAnsi="Times New Roman" w:cs="Times New Roman"/>
          <w:sz w:val="28"/>
          <w:szCs w:val="28"/>
        </w:rPr>
        <w:t xml:space="preserve"> МКД, без учета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5E16DC" w:rsidRPr="00120480">
        <w:rPr>
          <w:rFonts w:ascii="Times New Roman" w:hAnsi="Times New Roman" w:cs="Times New Roman"/>
          <w:sz w:val="28"/>
          <w:szCs w:val="28"/>
        </w:rPr>
        <w:t>7</w:t>
      </w:r>
      <w:r w:rsidRPr="00120480">
        <w:rPr>
          <w:rFonts w:ascii="Times New Roman" w:hAnsi="Times New Roman" w:cs="Times New Roman"/>
          <w:sz w:val="28"/>
          <w:szCs w:val="28"/>
        </w:rPr>
        <w:t xml:space="preserve"> МКД строительство которых осуществляется Фондом защиты прав граждан – участников долевого строительства Красноярского края (далее – </w:t>
      </w:r>
      <w:proofErr w:type="spellStart"/>
      <w:r w:rsidRPr="00120480">
        <w:rPr>
          <w:rFonts w:ascii="Times New Roman" w:hAnsi="Times New Roman" w:cs="Times New Roman"/>
          <w:sz w:val="28"/>
          <w:szCs w:val="28"/>
        </w:rPr>
        <w:t>Регфонд</w:t>
      </w:r>
      <w:proofErr w:type="spellEnd"/>
      <w:r w:rsidRPr="00120480">
        <w:rPr>
          <w:rFonts w:ascii="Times New Roman" w:hAnsi="Times New Roman" w:cs="Times New Roman"/>
          <w:sz w:val="28"/>
          <w:szCs w:val="28"/>
        </w:rPr>
        <w:t>) на федеральные и краевые средства</w:t>
      </w:r>
      <w:r w:rsidR="00CC13FD" w:rsidRPr="00120480">
        <w:rPr>
          <w:rFonts w:ascii="Times New Roman" w:hAnsi="Times New Roman" w:cs="Times New Roman"/>
          <w:sz w:val="28"/>
          <w:szCs w:val="28"/>
        </w:rPr>
        <w:t xml:space="preserve"> ( 29.02.2024 1 МКД в установленном порядке введен в эксплуатацию).</w:t>
      </w:r>
      <w:r w:rsidR="0064222E" w:rsidRPr="00120480">
        <w:rPr>
          <w:rFonts w:ascii="Times New Roman" w:hAnsi="Times New Roman" w:cs="Times New Roman"/>
          <w:sz w:val="28"/>
          <w:szCs w:val="28"/>
        </w:rPr>
        <w:t xml:space="preserve"> В отношении 2</w:t>
      </w:r>
      <w:r w:rsidR="005E16DC" w:rsidRPr="00120480">
        <w:rPr>
          <w:rFonts w:ascii="Times New Roman" w:hAnsi="Times New Roman" w:cs="Times New Roman"/>
          <w:sz w:val="28"/>
          <w:szCs w:val="28"/>
        </w:rPr>
        <w:t>2</w:t>
      </w:r>
      <w:r w:rsidR="0064222E" w:rsidRPr="00120480">
        <w:rPr>
          <w:rFonts w:ascii="Times New Roman" w:hAnsi="Times New Roman" w:cs="Times New Roman"/>
          <w:sz w:val="28"/>
          <w:szCs w:val="28"/>
        </w:rPr>
        <w:t xml:space="preserve"> МКД сведения о финансировании строительства за счет кредитных средств в проектных декларациях</w:t>
      </w:r>
      <w:r w:rsidR="008B5A5C" w:rsidRPr="00120480">
        <w:rPr>
          <w:rFonts w:ascii="Times New Roman" w:hAnsi="Times New Roman" w:cs="Times New Roman"/>
          <w:sz w:val="28"/>
          <w:szCs w:val="28"/>
        </w:rPr>
        <w:t xml:space="preserve"> не отражены</w:t>
      </w:r>
      <w:r w:rsidR="0064222E" w:rsidRPr="00120480">
        <w:rPr>
          <w:rFonts w:ascii="Times New Roman" w:hAnsi="Times New Roman" w:cs="Times New Roman"/>
          <w:sz w:val="28"/>
          <w:szCs w:val="28"/>
        </w:rPr>
        <w:t>.</w:t>
      </w:r>
      <w:r w:rsidR="00DB399B" w:rsidRPr="00120480">
        <w:rPr>
          <w:rFonts w:ascii="Times New Roman" w:hAnsi="Times New Roman" w:cs="Times New Roman"/>
          <w:sz w:val="28"/>
          <w:szCs w:val="28"/>
        </w:rPr>
        <w:t xml:space="preserve"> Следует отметить</w:t>
      </w:r>
      <w:r w:rsidR="008B5A5C" w:rsidRPr="00120480">
        <w:rPr>
          <w:rFonts w:ascii="Times New Roman" w:hAnsi="Times New Roman" w:cs="Times New Roman"/>
          <w:sz w:val="28"/>
          <w:szCs w:val="28"/>
        </w:rPr>
        <w:t>,</w:t>
      </w:r>
      <w:r w:rsidR="00DB399B" w:rsidRPr="00120480">
        <w:rPr>
          <w:rFonts w:ascii="Times New Roman" w:hAnsi="Times New Roman" w:cs="Times New Roman"/>
          <w:sz w:val="28"/>
          <w:szCs w:val="28"/>
        </w:rPr>
        <w:t xml:space="preserve"> что только в отношении 15 объектов суммарный размер сумм цены ДДУ, подлежащи</w:t>
      </w:r>
      <w:r w:rsidR="00C51318" w:rsidRPr="00120480">
        <w:rPr>
          <w:rFonts w:ascii="Times New Roman" w:hAnsi="Times New Roman" w:cs="Times New Roman"/>
          <w:sz w:val="28"/>
          <w:szCs w:val="28"/>
        </w:rPr>
        <w:t>й</w:t>
      </w:r>
      <w:r w:rsidR="00DB399B" w:rsidRPr="00120480">
        <w:rPr>
          <w:rFonts w:ascii="Times New Roman" w:hAnsi="Times New Roman" w:cs="Times New Roman"/>
          <w:sz w:val="28"/>
          <w:szCs w:val="28"/>
        </w:rPr>
        <w:t xml:space="preserve"> депонированию на счетах эскроу превышает размер привлеченных кредитных обязательств застройщика, по 10 объектам этот размер достигает 80% от привлеченных кредитных средств.</w:t>
      </w:r>
    </w:p>
    <w:p w14:paraId="3C063E76" w14:textId="6EF2E9A9" w:rsidR="001A5405" w:rsidRPr="00120480" w:rsidRDefault="001A5405" w:rsidP="001A540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77FAE988" wp14:editId="36CC5749">
            <wp:extent cx="5939790" cy="3534683"/>
            <wp:effectExtent l="0" t="0" r="3810" b="8890"/>
            <wp:docPr id="2519264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34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79872F" w14:textId="073ECCC2" w:rsidR="00C51318" w:rsidRPr="00120480" w:rsidRDefault="00201258" w:rsidP="00120480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480">
        <w:rPr>
          <w:rFonts w:ascii="Times New Roman" w:hAnsi="Times New Roman" w:cs="Times New Roman"/>
          <w:sz w:val="28"/>
          <w:szCs w:val="28"/>
        </w:rPr>
        <w:t>С</w:t>
      </w:r>
      <w:r w:rsidR="00E9070D" w:rsidRPr="00120480">
        <w:rPr>
          <w:rFonts w:ascii="Times New Roman" w:hAnsi="Times New Roman" w:cs="Times New Roman"/>
          <w:sz w:val="28"/>
          <w:szCs w:val="28"/>
        </w:rPr>
        <w:t xml:space="preserve">уммарный размер </w:t>
      </w:r>
      <w:r w:rsidRPr="00120480">
        <w:rPr>
          <w:rFonts w:ascii="Times New Roman" w:hAnsi="Times New Roman" w:cs="Times New Roman"/>
          <w:sz w:val="28"/>
          <w:szCs w:val="28"/>
        </w:rPr>
        <w:t xml:space="preserve">взятых </w:t>
      </w:r>
      <w:r w:rsidR="00E9070D" w:rsidRPr="00120480">
        <w:rPr>
          <w:rFonts w:ascii="Times New Roman" w:hAnsi="Times New Roman" w:cs="Times New Roman"/>
          <w:sz w:val="28"/>
          <w:szCs w:val="28"/>
        </w:rPr>
        <w:t>кредитных обязательств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F0174A" w:rsidRPr="00120480">
        <w:rPr>
          <w:rFonts w:ascii="Times New Roman" w:hAnsi="Times New Roman" w:cs="Times New Roman"/>
          <w:sz w:val="28"/>
          <w:szCs w:val="28"/>
        </w:rPr>
        <w:t xml:space="preserve">на строительство МКД </w:t>
      </w:r>
      <w:r w:rsidR="006906BB" w:rsidRPr="00120480">
        <w:rPr>
          <w:rFonts w:ascii="Times New Roman" w:hAnsi="Times New Roman" w:cs="Times New Roman"/>
          <w:sz w:val="28"/>
          <w:szCs w:val="28"/>
        </w:rPr>
        <w:t>в марте 2024г. увеличился на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906BB" w:rsidRPr="00120480">
        <w:rPr>
          <w:rFonts w:ascii="Times New Roman" w:hAnsi="Times New Roman" w:cs="Times New Roman"/>
          <w:sz w:val="28"/>
          <w:szCs w:val="28"/>
        </w:rPr>
        <w:t xml:space="preserve">5,7 % и составил </w:t>
      </w:r>
      <w:r w:rsidR="006906BB" w:rsidRPr="00120480">
        <w:rPr>
          <w:rFonts w:ascii="Times New Roman" w:hAnsi="Times New Roman" w:cs="Times New Roman"/>
          <w:b/>
          <w:bCs/>
          <w:sz w:val="28"/>
          <w:szCs w:val="28"/>
        </w:rPr>
        <w:t>120,327</w:t>
      </w:r>
      <w:r w:rsidR="006906BB" w:rsidRPr="001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06BB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proofErr w:type="gramEnd"/>
      <w:r w:rsidR="006906BB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4222E" w:rsidRPr="00120480">
        <w:rPr>
          <w:rFonts w:ascii="Times New Roman" w:hAnsi="Times New Roman" w:cs="Times New Roman"/>
          <w:sz w:val="28"/>
          <w:szCs w:val="28"/>
        </w:rPr>
        <w:t>в феврале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4222E" w:rsidRPr="00120480">
        <w:rPr>
          <w:rFonts w:ascii="Times New Roman" w:hAnsi="Times New Roman" w:cs="Times New Roman"/>
          <w:sz w:val="28"/>
          <w:szCs w:val="28"/>
        </w:rPr>
        <w:t>состав</w:t>
      </w:r>
      <w:r w:rsidR="006906BB" w:rsidRPr="00120480">
        <w:rPr>
          <w:rFonts w:ascii="Times New Roman" w:hAnsi="Times New Roman" w:cs="Times New Roman"/>
          <w:sz w:val="28"/>
          <w:szCs w:val="28"/>
        </w:rPr>
        <w:t>лял</w:t>
      </w:r>
      <w:r w:rsidR="0064222E" w:rsidRPr="00120480">
        <w:rPr>
          <w:rFonts w:ascii="Times New Roman" w:hAnsi="Times New Roman" w:cs="Times New Roman"/>
          <w:sz w:val="28"/>
          <w:szCs w:val="28"/>
        </w:rPr>
        <w:t xml:space="preserve"> 113,430 </w:t>
      </w:r>
      <w:proofErr w:type="spellStart"/>
      <w:r w:rsidR="0064222E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r w:rsidR="0064222E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906BB" w:rsidRPr="00120480">
        <w:rPr>
          <w:rFonts w:ascii="Times New Roman" w:hAnsi="Times New Roman" w:cs="Times New Roman"/>
          <w:sz w:val="28"/>
          <w:szCs w:val="28"/>
        </w:rPr>
        <w:t xml:space="preserve">, а в </w:t>
      </w:r>
      <w:r w:rsidR="0064222E" w:rsidRPr="00120480">
        <w:rPr>
          <w:rFonts w:ascii="Times New Roman" w:hAnsi="Times New Roman" w:cs="Times New Roman"/>
          <w:sz w:val="28"/>
          <w:szCs w:val="28"/>
        </w:rPr>
        <w:t>январ</w:t>
      </w:r>
      <w:r w:rsidR="006906BB" w:rsidRPr="00120480">
        <w:rPr>
          <w:rFonts w:ascii="Times New Roman" w:hAnsi="Times New Roman" w:cs="Times New Roman"/>
          <w:sz w:val="28"/>
          <w:szCs w:val="28"/>
        </w:rPr>
        <w:t>е</w:t>
      </w:r>
      <w:r w:rsidR="0064222E" w:rsidRPr="00120480">
        <w:rPr>
          <w:rFonts w:ascii="Times New Roman" w:hAnsi="Times New Roman" w:cs="Times New Roman"/>
          <w:sz w:val="28"/>
          <w:szCs w:val="28"/>
        </w:rPr>
        <w:t xml:space="preserve"> - 114,959 </w:t>
      </w:r>
      <w:proofErr w:type="spellStart"/>
      <w:r w:rsidR="0064222E" w:rsidRPr="00120480">
        <w:rPr>
          <w:rFonts w:ascii="Times New Roman" w:hAnsi="Times New Roman" w:cs="Times New Roman"/>
          <w:sz w:val="28"/>
          <w:szCs w:val="28"/>
        </w:rPr>
        <w:t>млрд.р</w:t>
      </w:r>
      <w:r w:rsidR="007716D9" w:rsidRPr="00120480">
        <w:rPr>
          <w:rFonts w:ascii="Times New Roman" w:hAnsi="Times New Roman" w:cs="Times New Roman"/>
          <w:sz w:val="28"/>
          <w:szCs w:val="28"/>
        </w:rPr>
        <w:t>у</w:t>
      </w:r>
      <w:r w:rsidR="0064222E" w:rsidRPr="00120480">
        <w:rPr>
          <w:rFonts w:ascii="Times New Roman" w:hAnsi="Times New Roman" w:cs="Times New Roman"/>
          <w:sz w:val="28"/>
          <w:szCs w:val="28"/>
        </w:rPr>
        <w:t>блей</w:t>
      </w:r>
      <w:proofErr w:type="spellEnd"/>
      <w:r w:rsidR="0064222E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6906BB" w:rsidRPr="00120480">
        <w:rPr>
          <w:rFonts w:ascii="Times New Roman" w:hAnsi="Times New Roman" w:cs="Times New Roman"/>
          <w:sz w:val="28"/>
          <w:szCs w:val="28"/>
        </w:rPr>
        <w:t xml:space="preserve">. </w:t>
      </w:r>
      <w:r w:rsidR="009E132E" w:rsidRPr="00120480">
        <w:rPr>
          <w:rFonts w:ascii="Times New Roman" w:hAnsi="Times New Roman" w:cs="Times New Roman"/>
          <w:sz w:val="28"/>
          <w:szCs w:val="28"/>
        </w:rPr>
        <w:t>Кроме этого</w:t>
      </w:r>
      <w:r w:rsidR="006906BB" w:rsidRPr="00120480">
        <w:rPr>
          <w:rFonts w:ascii="Times New Roman" w:hAnsi="Times New Roman" w:cs="Times New Roman"/>
          <w:sz w:val="28"/>
          <w:szCs w:val="28"/>
        </w:rPr>
        <w:t>,</w:t>
      </w:r>
      <w:r w:rsidR="009E132E" w:rsidRPr="00120480">
        <w:rPr>
          <w:rFonts w:ascii="Times New Roman" w:hAnsi="Times New Roman" w:cs="Times New Roman"/>
          <w:sz w:val="28"/>
          <w:szCs w:val="28"/>
        </w:rPr>
        <w:t xml:space="preserve"> на строительство объектов нежилого назначения (офисные здания-апартаменты и автопарковки) открыты кредитные линии в размере </w:t>
      </w:r>
      <w:r w:rsidR="006906BB" w:rsidRPr="00120480">
        <w:rPr>
          <w:rFonts w:ascii="Times New Roman" w:hAnsi="Times New Roman" w:cs="Times New Roman"/>
          <w:b/>
          <w:bCs/>
          <w:sz w:val="28"/>
          <w:szCs w:val="28"/>
        </w:rPr>
        <w:t>3,931</w:t>
      </w:r>
      <w:r w:rsidR="006906BB" w:rsidRPr="00120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906BB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proofErr w:type="gramEnd"/>
      <w:r w:rsidR="006906BB" w:rsidRPr="00120480">
        <w:rPr>
          <w:rFonts w:ascii="Times New Roman" w:hAnsi="Times New Roman" w:cs="Times New Roman"/>
          <w:sz w:val="28"/>
          <w:szCs w:val="28"/>
        </w:rPr>
        <w:t xml:space="preserve">, что на 2,7% больше показателей февраля - </w:t>
      </w:r>
      <w:r w:rsidR="009E132E" w:rsidRPr="00120480">
        <w:rPr>
          <w:rFonts w:ascii="Times New Roman" w:hAnsi="Times New Roman" w:cs="Times New Roman"/>
          <w:sz w:val="28"/>
          <w:szCs w:val="28"/>
        </w:rPr>
        <w:t xml:space="preserve">3,825 </w:t>
      </w:r>
      <w:proofErr w:type="spellStart"/>
      <w:r w:rsidR="009E132E" w:rsidRPr="00120480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r w:rsidR="009E132E" w:rsidRPr="00120480">
        <w:rPr>
          <w:rFonts w:ascii="Times New Roman" w:hAnsi="Times New Roman" w:cs="Times New Roman"/>
          <w:sz w:val="28"/>
          <w:szCs w:val="28"/>
        </w:rPr>
        <w:t>.</w:t>
      </w:r>
      <w:r w:rsidR="00120480" w:rsidRPr="00120480">
        <w:rPr>
          <w:rFonts w:ascii="Times New Roman" w:hAnsi="Times New Roman" w:cs="Times New Roman"/>
          <w:sz w:val="28"/>
          <w:szCs w:val="28"/>
        </w:rPr>
        <w:t xml:space="preserve"> </w:t>
      </w:r>
      <w:r w:rsidR="00C51318" w:rsidRPr="00120480">
        <w:rPr>
          <w:rFonts w:ascii="Times New Roman" w:hAnsi="Times New Roman" w:cs="Times New Roman"/>
          <w:sz w:val="28"/>
          <w:szCs w:val="28"/>
        </w:rPr>
        <w:t xml:space="preserve">Ситуация по размеру привлеченных застройщиками кредитных средств на жилые объекты и средств </w:t>
      </w:r>
      <w:proofErr w:type="spellStart"/>
      <w:r w:rsidR="00C51318" w:rsidRPr="00120480">
        <w:rPr>
          <w:rFonts w:ascii="Times New Roman" w:hAnsi="Times New Roman" w:cs="Times New Roman"/>
          <w:sz w:val="28"/>
          <w:szCs w:val="28"/>
        </w:rPr>
        <w:t>задепонированных</w:t>
      </w:r>
      <w:proofErr w:type="spellEnd"/>
      <w:r w:rsidR="00C51318" w:rsidRPr="00120480">
        <w:rPr>
          <w:rFonts w:ascii="Times New Roman" w:hAnsi="Times New Roman" w:cs="Times New Roman"/>
          <w:sz w:val="28"/>
          <w:szCs w:val="28"/>
        </w:rPr>
        <w:t xml:space="preserve"> на счетах эскроу в </w:t>
      </w:r>
      <w:r w:rsidR="00C51318" w:rsidRPr="00120480">
        <w:rPr>
          <w:rFonts w:ascii="Times New Roman" w:hAnsi="Times New Roman" w:cs="Times New Roman"/>
          <w:sz w:val="28"/>
          <w:szCs w:val="28"/>
        </w:rPr>
        <w:lastRenderedPageBreak/>
        <w:t>отношении жилых помещений наглядно на графике выглядит следующим образом:</w:t>
      </w:r>
    </w:p>
    <w:p w14:paraId="25E35781" w14:textId="3C414634" w:rsidR="00C51318" w:rsidRPr="001A5405" w:rsidRDefault="00C51318" w:rsidP="001A540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405">
        <w:rPr>
          <w:rFonts w:ascii="Times New Roman" w:hAnsi="Times New Roman" w:cs="Times New Roman"/>
          <w:sz w:val="28"/>
          <w:szCs w:val="28"/>
        </w:rPr>
        <w:t xml:space="preserve">Совокупный размер кредитных обязательств застройщиков в отношении жилых и нежилых объектов составил </w:t>
      </w:r>
      <w:r w:rsidRPr="001A5405">
        <w:rPr>
          <w:rFonts w:ascii="Times New Roman" w:hAnsi="Times New Roman" w:cs="Times New Roman"/>
          <w:b/>
          <w:bCs/>
          <w:sz w:val="28"/>
          <w:szCs w:val="28"/>
        </w:rPr>
        <w:t xml:space="preserve">124,258 </w:t>
      </w:r>
      <w:proofErr w:type="spellStart"/>
      <w:proofErr w:type="gramStart"/>
      <w:r w:rsidRPr="001A5405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proofErr w:type="gramEnd"/>
      <w:r w:rsidRPr="001A5405">
        <w:rPr>
          <w:rFonts w:ascii="Times New Roman" w:hAnsi="Times New Roman" w:cs="Times New Roman"/>
          <w:sz w:val="28"/>
          <w:szCs w:val="28"/>
        </w:rPr>
        <w:t>. Взятые кредитные обязательства на 54 % будут обеспечены денежными средствами участников долевого строительства, подлежащими</w:t>
      </w:r>
      <w:r w:rsidR="00120480" w:rsidRPr="001A5405">
        <w:rPr>
          <w:rFonts w:ascii="Times New Roman" w:hAnsi="Times New Roman" w:cs="Times New Roman"/>
          <w:sz w:val="28"/>
          <w:szCs w:val="28"/>
        </w:rPr>
        <w:t xml:space="preserve"> </w:t>
      </w:r>
      <w:r w:rsidRPr="001A5405">
        <w:rPr>
          <w:rFonts w:ascii="Times New Roman" w:hAnsi="Times New Roman" w:cs="Times New Roman"/>
          <w:sz w:val="28"/>
          <w:szCs w:val="28"/>
        </w:rPr>
        <w:t xml:space="preserve">депонированию на счетах эскроу (договоры участия в долевом строительстве на жилые и нежилые помещения заключены на общую сумму </w:t>
      </w:r>
      <w:r w:rsidRPr="001A5405">
        <w:rPr>
          <w:rFonts w:ascii="Times New Roman" w:hAnsi="Times New Roman" w:cs="Times New Roman"/>
          <w:b/>
          <w:bCs/>
          <w:sz w:val="28"/>
          <w:szCs w:val="28"/>
        </w:rPr>
        <w:t>67,281</w:t>
      </w:r>
      <w:r w:rsidRPr="001A5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5405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proofErr w:type="gramEnd"/>
      <w:r w:rsidRPr="001A540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1A5405">
        <w:rPr>
          <w:rFonts w:ascii="Times New Roman" w:hAnsi="Times New Roman" w:cs="Times New Roman"/>
          <w:b/>
          <w:bCs/>
          <w:sz w:val="28"/>
          <w:szCs w:val="28"/>
        </w:rPr>
        <w:t>61,517</w:t>
      </w:r>
      <w:r w:rsidRPr="001A54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405">
        <w:rPr>
          <w:rFonts w:ascii="Times New Roman" w:hAnsi="Times New Roman" w:cs="Times New Roman"/>
          <w:sz w:val="28"/>
          <w:szCs w:val="28"/>
        </w:rPr>
        <w:t>млрд.рублей</w:t>
      </w:r>
      <w:proofErr w:type="spellEnd"/>
      <w:r w:rsidR="00120480" w:rsidRPr="001A5405">
        <w:rPr>
          <w:rFonts w:ascii="Times New Roman" w:hAnsi="Times New Roman" w:cs="Times New Roman"/>
          <w:sz w:val="28"/>
          <w:szCs w:val="28"/>
        </w:rPr>
        <w:t xml:space="preserve"> </w:t>
      </w:r>
      <w:r w:rsidRPr="001A5405">
        <w:rPr>
          <w:rFonts w:ascii="Times New Roman" w:hAnsi="Times New Roman" w:cs="Times New Roman"/>
          <w:sz w:val="28"/>
          <w:szCs w:val="28"/>
        </w:rPr>
        <w:t>по жилым помещениям)). Учитывая, что процент реализованной жилой площади по заключенным ДДУ по итогам февраля 2023 г. составил</w:t>
      </w:r>
      <w:r w:rsidR="00120480" w:rsidRPr="001A5405">
        <w:rPr>
          <w:rFonts w:ascii="Times New Roman" w:hAnsi="Times New Roman" w:cs="Times New Roman"/>
          <w:sz w:val="28"/>
          <w:szCs w:val="28"/>
        </w:rPr>
        <w:t xml:space="preserve"> </w:t>
      </w:r>
      <w:r w:rsidRPr="001A5405">
        <w:rPr>
          <w:rFonts w:ascii="Times New Roman" w:hAnsi="Times New Roman" w:cs="Times New Roman"/>
          <w:sz w:val="28"/>
          <w:szCs w:val="28"/>
        </w:rPr>
        <w:t>35,3 %, а нежилых помещений – 24,2%, оставшуюся часть размера кредитных обязательств возможно погасить за счет реализации свободной площади.</w:t>
      </w:r>
    </w:p>
    <w:p w14:paraId="7586337C" w14:textId="77777777" w:rsidR="00C51318" w:rsidRDefault="00C51318" w:rsidP="002C7674">
      <w:pPr>
        <w:shd w:val="clear" w:color="auto" w:fill="FFFFFF"/>
        <w:spacing w:line="224" w:lineRule="atLeast"/>
        <w:ind w:firstLine="708"/>
        <w:jc w:val="both"/>
        <w:rPr>
          <w:sz w:val="27"/>
          <w:szCs w:val="27"/>
        </w:rPr>
      </w:pPr>
    </w:p>
    <w:sectPr w:rsidR="00C51318" w:rsidSect="00EE454E">
      <w:headerReference w:type="default" r:id="rId13"/>
      <w:footerReference w:type="even" r:id="rId14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4682" w14:textId="77777777" w:rsidR="00EE454E" w:rsidRDefault="00EE454E">
      <w:r>
        <w:separator/>
      </w:r>
    </w:p>
  </w:endnote>
  <w:endnote w:type="continuationSeparator" w:id="0">
    <w:p w14:paraId="56A456FD" w14:textId="77777777" w:rsidR="00EE454E" w:rsidRDefault="00EE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66DE" w14:textId="77777777" w:rsidR="000530B0" w:rsidRDefault="000530B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3EB2047" w14:textId="77777777" w:rsidR="000530B0" w:rsidRDefault="000530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77FF" w14:textId="77777777" w:rsidR="00EE454E" w:rsidRDefault="00EE454E">
      <w:r>
        <w:separator/>
      </w:r>
    </w:p>
  </w:footnote>
  <w:footnote w:type="continuationSeparator" w:id="0">
    <w:p w14:paraId="5CA34CC3" w14:textId="77777777" w:rsidR="00EE454E" w:rsidRDefault="00EE4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EB90" w14:textId="77777777" w:rsidR="00D818F9" w:rsidRDefault="00D818F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C69">
      <w:rPr>
        <w:noProof/>
      </w:rPr>
      <w:t>2</w:t>
    </w:r>
    <w:r>
      <w:fldChar w:fldCharType="end"/>
    </w:r>
  </w:p>
  <w:p w14:paraId="2043C55C" w14:textId="77777777" w:rsidR="00D818F9" w:rsidRDefault="00D818F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3A2310"/>
    <w:multiLevelType w:val="hybridMultilevel"/>
    <w:tmpl w:val="77B2788C"/>
    <w:lvl w:ilvl="0" w:tplc="0B82BC1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104E54"/>
    <w:multiLevelType w:val="hybridMultilevel"/>
    <w:tmpl w:val="44C2413E"/>
    <w:lvl w:ilvl="0" w:tplc="24C60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E32122"/>
    <w:multiLevelType w:val="hybridMultilevel"/>
    <w:tmpl w:val="5EE04C10"/>
    <w:lvl w:ilvl="0" w:tplc="DF8E0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B46E1A"/>
    <w:multiLevelType w:val="hybridMultilevel"/>
    <w:tmpl w:val="C2941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3000D2"/>
    <w:multiLevelType w:val="hybridMultilevel"/>
    <w:tmpl w:val="34AACAA6"/>
    <w:lvl w:ilvl="0" w:tplc="21A2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4339793">
    <w:abstractNumId w:val="4"/>
  </w:num>
  <w:num w:numId="2" w16cid:durableId="1584604979">
    <w:abstractNumId w:val="0"/>
  </w:num>
  <w:num w:numId="3" w16cid:durableId="564026164">
    <w:abstractNumId w:val="3"/>
  </w:num>
  <w:num w:numId="4" w16cid:durableId="46730210">
    <w:abstractNumId w:val="5"/>
  </w:num>
  <w:num w:numId="5" w16cid:durableId="332339976">
    <w:abstractNumId w:val="2"/>
  </w:num>
  <w:num w:numId="6" w16cid:durableId="169661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55"/>
    <w:rsid w:val="00003014"/>
    <w:rsid w:val="00003760"/>
    <w:rsid w:val="000052F3"/>
    <w:rsid w:val="00005510"/>
    <w:rsid w:val="00005DA1"/>
    <w:rsid w:val="00005E89"/>
    <w:rsid w:val="00007DF1"/>
    <w:rsid w:val="000108AB"/>
    <w:rsid w:val="0001162F"/>
    <w:rsid w:val="00011ED2"/>
    <w:rsid w:val="00012A4D"/>
    <w:rsid w:val="00014C1A"/>
    <w:rsid w:val="00015D99"/>
    <w:rsid w:val="00016510"/>
    <w:rsid w:val="00017A74"/>
    <w:rsid w:val="00022049"/>
    <w:rsid w:val="000226FB"/>
    <w:rsid w:val="000246B4"/>
    <w:rsid w:val="00024704"/>
    <w:rsid w:val="000250C2"/>
    <w:rsid w:val="00027335"/>
    <w:rsid w:val="0002734C"/>
    <w:rsid w:val="00030908"/>
    <w:rsid w:val="00030FDB"/>
    <w:rsid w:val="00031788"/>
    <w:rsid w:val="00031A7C"/>
    <w:rsid w:val="00031DFD"/>
    <w:rsid w:val="00031F4C"/>
    <w:rsid w:val="000325EA"/>
    <w:rsid w:val="00033330"/>
    <w:rsid w:val="00033B83"/>
    <w:rsid w:val="00033D32"/>
    <w:rsid w:val="000341A6"/>
    <w:rsid w:val="000341D4"/>
    <w:rsid w:val="00035B46"/>
    <w:rsid w:val="00037C22"/>
    <w:rsid w:val="00040E15"/>
    <w:rsid w:val="00040F66"/>
    <w:rsid w:val="000425DC"/>
    <w:rsid w:val="00042648"/>
    <w:rsid w:val="000438E1"/>
    <w:rsid w:val="0004394F"/>
    <w:rsid w:val="00045428"/>
    <w:rsid w:val="00045657"/>
    <w:rsid w:val="000459F6"/>
    <w:rsid w:val="000465F3"/>
    <w:rsid w:val="00046625"/>
    <w:rsid w:val="00046772"/>
    <w:rsid w:val="00046945"/>
    <w:rsid w:val="00046ABF"/>
    <w:rsid w:val="00047418"/>
    <w:rsid w:val="00047EAF"/>
    <w:rsid w:val="000513C0"/>
    <w:rsid w:val="000519B9"/>
    <w:rsid w:val="00052C63"/>
    <w:rsid w:val="00052D07"/>
    <w:rsid w:val="00052E7D"/>
    <w:rsid w:val="000530B0"/>
    <w:rsid w:val="00053940"/>
    <w:rsid w:val="00056F09"/>
    <w:rsid w:val="00057DF9"/>
    <w:rsid w:val="00061B80"/>
    <w:rsid w:val="00061BB3"/>
    <w:rsid w:val="00063DF6"/>
    <w:rsid w:val="00064AD1"/>
    <w:rsid w:val="000654E5"/>
    <w:rsid w:val="00066533"/>
    <w:rsid w:val="00070AE6"/>
    <w:rsid w:val="0007287D"/>
    <w:rsid w:val="00073D9C"/>
    <w:rsid w:val="000744BD"/>
    <w:rsid w:val="0008027E"/>
    <w:rsid w:val="000822AB"/>
    <w:rsid w:val="00082C68"/>
    <w:rsid w:val="00082EED"/>
    <w:rsid w:val="0008348F"/>
    <w:rsid w:val="00085379"/>
    <w:rsid w:val="000860E3"/>
    <w:rsid w:val="00090023"/>
    <w:rsid w:val="000917C0"/>
    <w:rsid w:val="00094BDC"/>
    <w:rsid w:val="00094C6B"/>
    <w:rsid w:val="00095A7F"/>
    <w:rsid w:val="00095D38"/>
    <w:rsid w:val="000972F8"/>
    <w:rsid w:val="00097CE5"/>
    <w:rsid w:val="000A13C9"/>
    <w:rsid w:val="000A3155"/>
    <w:rsid w:val="000A386B"/>
    <w:rsid w:val="000A4AB1"/>
    <w:rsid w:val="000A4C2F"/>
    <w:rsid w:val="000B06A2"/>
    <w:rsid w:val="000B0B80"/>
    <w:rsid w:val="000B1ED3"/>
    <w:rsid w:val="000B5936"/>
    <w:rsid w:val="000B7581"/>
    <w:rsid w:val="000C0DA1"/>
    <w:rsid w:val="000C230F"/>
    <w:rsid w:val="000C24DD"/>
    <w:rsid w:val="000C4FDA"/>
    <w:rsid w:val="000C5348"/>
    <w:rsid w:val="000C56AE"/>
    <w:rsid w:val="000C5E5C"/>
    <w:rsid w:val="000C6332"/>
    <w:rsid w:val="000C687C"/>
    <w:rsid w:val="000C7DBD"/>
    <w:rsid w:val="000C7E9D"/>
    <w:rsid w:val="000D0070"/>
    <w:rsid w:val="000D1367"/>
    <w:rsid w:val="000D3167"/>
    <w:rsid w:val="000D4A49"/>
    <w:rsid w:val="000D679B"/>
    <w:rsid w:val="000D6ED0"/>
    <w:rsid w:val="000E0CE8"/>
    <w:rsid w:val="000E2DB8"/>
    <w:rsid w:val="000E2FFF"/>
    <w:rsid w:val="000E3130"/>
    <w:rsid w:val="000E3811"/>
    <w:rsid w:val="000E56F6"/>
    <w:rsid w:val="000E6CDF"/>
    <w:rsid w:val="000E7711"/>
    <w:rsid w:val="000F0212"/>
    <w:rsid w:val="000F0FE5"/>
    <w:rsid w:val="000F1619"/>
    <w:rsid w:val="000F2299"/>
    <w:rsid w:val="000F30B4"/>
    <w:rsid w:val="000F413F"/>
    <w:rsid w:val="000F6333"/>
    <w:rsid w:val="00101E3D"/>
    <w:rsid w:val="00103F5F"/>
    <w:rsid w:val="00104B3A"/>
    <w:rsid w:val="00104F90"/>
    <w:rsid w:val="001054CB"/>
    <w:rsid w:val="00105520"/>
    <w:rsid w:val="00106C91"/>
    <w:rsid w:val="00106F32"/>
    <w:rsid w:val="001075AF"/>
    <w:rsid w:val="001077DB"/>
    <w:rsid w:val="0011004C"/>
    <w:rsid w:val="00110680"/>
    <w:rsid w:val="00111BDA"/>
    <w:rsid w:val="00113162"/>
    <w:rsid w:val="0011746A"/>
    <w:rsid w:val="00120480"/>
    <w:rsid w:val="00120670"/>
    <w:rsid w:val="0012130E"/>
    <w:rsid w:val="00121E66"/>
    <w:rsid w:val="001221A4"/>
    <w:rsid w:val="0012311A"/>
    <w:rsid w:val="00124808"/>
    <w:rsid w:val="0012501B"/>
    <w:rsid w:val="00126910"/>
    <w:rsid w:val="0012735B"/>
    <w:rsid w:val="0012756E"/>
    <w:rsid w:val="001336A4"/>
    <w:rsid w:val="001422F6"/>
    <w:rsid w:val="001444A8"/>
    <w:rsid w:val="00145264"/>
    <w:rsid w:val="00147F91"/>
    <w:rsid w:val="001506CE"/>
    <w:rsid w:val="0015079E"/>
    <w:rsid w:val="001522AE"/>
    <w:rsid w:val="00154A15"/>
    <w:rsid w:val="0015712D"/>
    <w:rsid w:val="0016088B"/>
    <w:rsid w:val="00161A92"/>
    <w:rsid w:val="00161C4D"/>
    <w:rsid w:val="0016480F"/>
    <w:rsid w:val="00170571"/>
    <w:rsid w:val="001719AB"/>
    <w:rsid w:val="00171A5F"/>
    <w:rsid w:val="00171B08"/>
    <w:rsid w:val="00172631"/>
    <w:rsid w:val="00173222"/>
    <w:rsid w:val="00174C65"/>
    <w:rsid w:val="001759C5"/>
    <w:rsid w:val="00176BDD"/>
    <w:rsid w:val="001817DC"/>
    <w:rsid w:val="00181E69"/>
    <w:rsid w:val="0018339E"/>
    <w:rsid w:val="00185BF7"/>
    <w:rsid w:val="00186649"/>
    <w:rsid w:val="00186FD0"/>
    <w:rsid w:val="001916FA"/>
    <w:rsid w:val="00192701"/>
    <w:rsid w:val="001942FF"/>
    <w:rsid w:val="0019447B"/>
    <w:rsid w:val="001954CE"/>
    <w:rsid w:val="001958E6"/>
    <w:rsid w:val="00195E10"/>
    <w:rsid w:val="00196F99"/>
    <w:rsid w:val="001A024C"/>
    <w:rsid w:val="001A074E"/>
    <w:rsid w:val="001A2408"/>
    <w:rsid w:val="001A242B"/>
    <w:rsid w:val="001A36B8"/>
    <w:rsid w:val="001A3839"/>
    <w:rsid w:val="001A5405"/>
    <w:rsid w:val="001A6543"/>
    <w:rsid w:val="001A691B"/>
    <w:rsid w:val="001A6BE4"/>
    <w:rsid w:val="001A73EA"/>
    <w:rsid w:val="001A76FE"/>
    <w:rsid w:val="001A7B1C"/>
    <w:rsid w:val="001A7EC2"/>
    <w:rsid w:val="001B02AA"/>
    <w:rsid w:val="001B048F"/>
    <w:rsid w:val="001B0C70"/>
    <w:rsid w:val="001B0D7D"/>
    <w:rsid w:val="001B144D"/>
    <w:rsid w:val="001B1D15"/>
    <w:rsid w:val="001B36C0"/>
    <w:rsid w:val="001B5019"/>
    <w:rsid w:val="001B668E"/>
    <w:rsid w:val="001B6705"/>
    <w:rsid w:val="001C0F72"/>
    <w:rsid w:val="001C14B8"/>
    <w:rsid w:val="001C33A7"/>
    <w:rsid w:val="001C41D8"/>
    <w:rsid w:val="001C4335"/>
    <w:rsid w:val="001C540D"/>
    <w:rsid w:val="001C604F"/>
    <w:rsid w:val="001C6C8F"/>
    <w:rsid w:val="001C7FC2"/>
    <w:rsid w:val="001D0B7F"/>
    <w:rsid w:val="001D12BB"/>
    <w:rsid w:val="001D21B2"/>
    <w:rsid w:val="001D3C2E"/>
    <w:rsid w:val="001D6705"/>
    <w:rsid w:val="001D6EF9"/>
    <w:rsid w:val="001D7C78"/>
    <w:rsid w:val="001E49F7"/>
    <w:rsid w:val="001E6CF0"/>
    <w:rsid w:val="001F038B"/>
    <w:rsid w:val="001F1353"/>
    <w:rsid w:val="001F206C"/>
    <w:rsid w:val="001F333E"/>
    <w:rsid w:val="001F34C6"/>
    <w:rsid w:val="001F598E"/>
    <w:rsid w:val="001F5B6E"/>
    <w:rsid w:val="001F66CC"/>
    <w:rsid w:val="001F7123"/>
    <w:rsid w:val="00201258"/>
    <w:rsid w:val="00201789"/>
    <w:rsid w:val="002030C2"/>
    <w:rsid w:val="002030F0"/>
    <w:rsid w:val="002033C4"/>
    <w:rsid w:val="00203880"/>
    <w:rsid w:val="0020566A"/>
    <w:rsid w:val="00206096"/>
    <w:rsid w:val="00210B41"/>
    <w:rsid w:val="00210FBB"/>
    <w:rsid w:val="00213420"/>
    <w:rsid w:val="0021589C"/>
    <w:rsid w:val="002160BA"/>
    <w:rsid w:val="002169D4"/>
    <w:rsid w:val="0021704E"/>
    <w:rsid w:val="002200F1"/>
    <w:rsid w:val="00223D66"/>
    <w:rsid w:val="00223F41"/>
    <w:rsid w:val="002243C0"/>
    <w:rsid w:val="0022506B"/>
    <w:rsid w:val="002252CF"/>
    <w:rsid w:val="00230A1B"/>
    <w:rsid w:val="002350BD"/>
    <w:rsid w:val="00235D29"/>
    <w:rsid w:val="0024169C"/>
    <w:rsid w:val="00244254"/>
    <w:rsid w:val="002454B8"/>
    <w:rsid w:val="0024574D"/>
    <w:rsid w:val="00246724"/>
    <w:rsid w:val="00246CDE"/>
    <w:rsid w:val="00251AE4"/>
    <w:rsid w:val="00251D03"/>
    <w:rsid w:val="00252C2E"/>
    <w:rsid w:val="00253325"/>
    <w:rsid w:val="00256E41"/>
    <w:rsid w:val="0025730F"/>
    <w:rsid w:val="00257673"/>
    <w:rsid w:val="002578A3"/>
    <w:rsid w:val="002578BE"/>
    <w:rsid w:val="0026065A"/>
    <w:rsid w:val="002606C3"/>
    <w:rsid w:val="00260B4A"/>
    <w:rsid w:val="0026137F"/>
    <w:rsid w:val="002629E7"/>
    <w:rsid w:val="00262D46"/>
    <w:rsid w:val="002636BC"/>
    <w:rsid w:val="00263C4B"/>
    <w:rsid w:val="002649D2"/>
    <w:rsid w:val="00265EAB"/>
    <w:rsid w:val="0026617D"/>
    <w:rsid w:val="0026647C"/>
    <w:rsid w:val="00266858"/>
    <w:rsid w:val="0027016F"/>
    <w:rsid w:val="00270EB6"/>
    <w:rsid w:val="00271151"/>
    <w:rsid w:val="00271B66"/>
    <w:rsid w:val="00273A55"/>
    <w:rsid w:val="00275D12"/>
    <w:rsid w:val="0027780C"/>
    <w:rsid w:val="00277FFC"/>
    <w:rsid w:val="00282D32"/>
    <w:rsid w:val="0028479E"/>
    <w:rsid w:val="00284C90"/>
    <w:rsid w:val="002857FD"/>
    <w:rsid w:val="00285DE3"/>
    <w:rsid w:val="00286CD0"/>
    <w:rsid w:val="002907BD"/>
    <w:rsid w:val="00290816"/>
    <w:rsid w:val="0029230B"/>
    <w:rsid w:val="002934E6"/>
    <w:rsid w:val="0029620D"/>
    <w:rsid w:val="00296C46"/>
    <w:rsid w:val="00296F84"/>
    <w:rsid w:val="0029728B"/>
    <w:rsid w:val="00297418"/>
    <w:rsid w:val="0029779D"/>
    <w:rsid w:val="002A0891"/>
    <w:rsid w:val="002A1754"/>
    <w:rsid w:val="002A3764"/>
    <w:rsid w:val="002A3801"/>
    <w:rsid w:val="002A719B"/>
    <w:rsid w:val="002B123B"/>
    <w:rsid w:val="002B153A"/>
    <w:rsid w:val="002B3860"/>
    <w:rsid w:val="002B3B3C"/>
    <w:rsid w:val="002C345F"/>
    <w:rsid w:val="002C46CA"/>
    <w:rsid w:val="002C75BC"/>
    <w:rsid w:val="002C7674"/>
    <w:rsid w:val="002C7718"/>
    <w:rsid w:val="002C7F65"/>
    <w:rsid w:val="002D06F6"/>
    <w:rsid w:val="002D07BB"/>
    <w:rsid w:val="002D3389"/>
    <w:rsid w:val="002D3903"/>
    <w:rsid w:val="002D57B9"/>
    <w:rsid w:val="002D7A2B"/>
    <w:rsid w:val="002D7B84"/>
    <w:rsid w:val="002E05AF"/>
    <w:rsid w:val="002E0C04"/>
    <w:rsid w:val="002E1238"/>
    <w:rsid w:val="002E19A4"/>
    <w:rsid w:val="002E3480"/>
    <w:rsid w:val="002E3C36"/>
    <w:rsid w:val="002E6E8B"/>
    <w:rsid w:val="002F1787"/>
    <w:rsid w:val="002F1F86"/>
    <w:rsid w:val="002F20DC"/>
    <w:rsid w:val="002F29A6"/>
    <w:rsid w:val="002F32E6"/>
    <w:rsid w:val="002F3B9C"/>
    <w:rsid w:val="002F4B3F"/>
    <w:rsid w:val="002F646B"/>
    <w:rsid w:val="002F7419"/>
    <w:rsid w:val="0030088B"/>
    <w:rsid w:val="00301AB6"/>
    <w:rsid w:val="003033C0"/>
    <w:rsid w:val="00303927"/>
    <w:rsid w:val="0030527A"/>
    <w:rsid w:val="00305AFB"/>
    <w:rsid w:val="0030643C"/>
    <w:rsid w:val="00306458"/>
    <w:rsid w:val="0030657B"/>
    <w:rsid w:val="00306B90"/>
    <w:rsid w:val="00307B7E"/>
    <w:rsid w:val="003101A7"/>
    <w:rsid w:val="003106B7"/>
    <w:rsid w:val="003110F3"/>
    <w:rsid w:val="003129FA"/>
    <w:rsid w:val="00312CF7"/>
    <w:rsid w:val="003157C1"/>
    <w:rsid w:val="00315938"/>
    <w:rsid w:val="00316E85"/>
    <w:rsid w:val="00321CFA"/>
    <w:rsid w:val="00321DEA"/>
    <w:rsid w:val="00322A18"/>
    <w:rsid w:val="00324854"/>
    <w:rsid w:val="00326070"/>
    <w:rsid w:val="003264AF"/>
    <w:rsid w:val="00326AE2"/>
    <w:rsid w:val="00326EC2"/>
    <w:rsid w:val="003308B1"/>
    <w:rsid w:val="00331652"/>
    <w:rsid w:val="0033329D"/>
    <w:rsid w:val="003340D4"/>
    <w:rsid w:val="003405A8"/>
    <w:rsid w:val="0034238E"/>
    <w:rsid w:val="00343BE4"/>
    <w:rsid w:val="00343F25"/>
    <w:rsid w:val="0034591E"/>
    <w:rsid w:val="00347833"/>
    <w:rsid w:val="00347FCC"/>
    <w:rsid w:val="00350230"/>
    <w:rsid w:val="003506E3"/>
    <w:rsid w:val="00350C26"/>
    <w:rsid w:val="00351DBA"/>
    <w:rsid w:val="0035313E"/>
    <w:rsid w:val="003532DC"/>
    <w:rsid w:val="003542F7"/>
    <w:rsid w:val="003549EE"/>
    <w:rsid w:val="003561C0"/>
    <w:rsid w:val="00356494"/>
    <w:rsid w:val="00357E56"/>
    <w:rsid w:val="003601B3"/>
    <w:rsid w:val="00360BFD"/>
    <w:rsid w:val="00361ACB"/>
    <w:rsid w:val="003637F1"/>
    <w:rsid w:val="003638DC"/>
    <w:rsid w:val="00364148"/>
    <w:rsid w:val="003653BD"/>
    <w:rsid w:val="00366C5E"/>
    <w:rsid w:val="00367590"/>
    <w:rsid w:val="0037144D"/>
    <w:rsid w:val="00371A70"/>
    <w:rsid w:val="0037282C"/>
    <w:rsid w:val="00373D18"/>
    <w:rsid w:val="00374487"/>
    <w:rsid w:val="00377901"/>
    <w:rsid w:val="003808E6"/>
    <w:rsid w:val="00380D4C"/>
    <w:rsid w:val="00380F4C"/>
    <w:rsid w:val="00383C9A"/>
    <w:rsid w:val="00384D3C"/>
    <w:rsid w:val="00384D8B"/>
    <w:rsid w:val="00385942"/>
    <w:rsid w:val="00385D5C"/>
    <w:rsid w:val="0038631D"/>
    <w:rsid w:val="003869DC"/>
    <w:rsid w:val="00387187"/>
    <w:rsid w:val="003876D5"/>
    <w:rsid w:val="003905C8"/>
    <w:rsid w:val="00391BB8"/>
    <w:rsid w:val="003950D2"/>
    <w:rsid w:val="003954DE"/>
    <w:rsid w:val="00396F52"/>
    <w:rsid w:val="00397661"/>
    <w:rsid w:val="003A0D98"/>
    <w:rsid w:val="003A16DC"/>
    <w:rsid w:val="003A201A"/>
    <w:rsid w:val="003A24BD"/>
    <w:rsid w:val="003A2E95"/>
    <w:rsid w:val="003A55CB"/>
    <w:rsid w:val="003A5B30"/>
    <w:rsid w:val="003A7C33"/>
    <w:rsid w:val="003B04F9"/>
    <w:rsid w:val="003B088E"/>
    <w:rsid w:val="003B0D7A"/>
    <w:rsid w:val="003B134B"/>
    <w:rsid w:val="003B2AE1"/>
    <w:rsid w:val="003B3747"/>
    <w:rsid w:val="003B3837"/>
    <w:rsid w:val="003B75B7"/>
    <w:rsid w:val="003B7F4C"/>
    <w:rsid w:val="003C09D7"/>
    <w:rsid w:val="003C172F"/>
    <w:rsid w:val="003C2E8C"/>
    <w:rsid w:val="003C37BA"/>
    <w:rsid w:val="003C41D7"/>
    <w:rsid w:val="003C456A"/>
    <w:rsid w:val="003C4C36"/>
    <w:rsid w:val="003C539E"/>
    <w:rsid w:val="003C7455"/>
    <w:rsid w:val="003C74EE"/>
    <w:rsid w:val="003D5572"/>
    <w:rsid w:val="003E0488"/>
    <w:rsid w:val="003E0E12"/>
    <w:rsid w:val="003E102D"/>
    <w:rsid w:val="003E3FCB"/>
    <w:rsid w:val="003E4918"/>
    <w:rsid w:val="003E4E37"/>
    <w:rsid w:val="003E5E14"/>
    <w:rsid w:val="003E5FC2"/>
    <w:rsid w:val="003E6DA4"/>
    <w:rsid w:val="003F1A5F"/>
    <w:rsid w:val="003F1EDC"/>
    <w:rsid w:val="003F2358"/>
    <w:rsid w:val="003F330A"/>
    <w:rsid w:val="003F387B"/>
    <w:rsid w:val="003F3B00"/>
    <w:rsid w:val="003F3C09"/>
    <w:rsid w:val="003F3D76"/>
    <w:rsid w:val="003F4EEB"/>
    <w:rsid w:val="003F72FF"/>
    <w:rsid w:val="00402A9A"/>
    <w:rsid w:val="00402F94"/>
    <w:rsid w:val="004037F6"/>
    <w:rsid w:val="004038C4"/>
    <w:rsid w:val="0040530F"/>
    <w:rsid w:val="004059E1"/>
    <w:rsid w:val="00410EDA"/>
    <w:rsid w:val="00411EFC"/>
    <w:rsid w:val="00412088"/>
    <w:rsid w:val="00413E12"/>
    <w:rsid w:val="004170D7"/>
    <w:rsid w:val="0042133D"/>
    <w:rsid w:val="0042170E"/>
    <w:rsid w:val="004218CE"/>
    <w:rsid w:val="004219B5"/>
    <w:rsid w:val="00422BE7"/>
    <w:rsid w:val="00422C6E"/>
    <w:rsid w:val="00423032"/>
    <w:rsid w:val="00423342"/>
    <w:rsid w:val="00424804"/>
    <w:rsid w:val="00425777"/>
    <w:rsid w:val="00426953"/>
    <w:rsid w:val="0042698A"/>
    <w:rsid w:val="00426A28"/>
    <w:rsid w:val="00430746"/>
    <w:rsid w:val="00432D80"/>
    <w:rsid w:val="00432FBD"/>
    <w:rsid w:val="00434C6A"/>
    <w:rsid w:val="00436129"/>
    <w:rsid w:val="004366B3"/>
    <w:rsid w:val="00437EA0"/>
    <w:rsid w:val="00440E2C"/>
    <w:rsid w:val="0044115C"/>
    <w:rsid w:val="00441C3D"/>
    <w:rsid w:val="00442340"/>
    <w:rsid w:val="004439F4"/>
    <w:rsid w:val="00444C79"/>
    <w:rsid w:val="00445709"/>
    <w:rsid w:val="00445996"/>
    <w:rsid w:val="00445AEA"/>
    <w:rsid w:val="00447684"/>
    <w:rsid w:val="0044783E"/>
    <w:rsid w:val="004512DE"/>
    <w:rsid w:val="004517E4"/>
    <w:rsid w:val="00451D00"/>
    <w:rsid w:val="0045213F"/>
    <w:rsid w:val="0045227A"/>
    <w:rsid w:val="00452CA8"/>
    <w:rsid w:val="00453ACD"/>
    <w:rsid w:val="00453EA9"/>
    <w:rsid w:val="004559A9"/>
    <w:rsid w:val="00455F5D"/>
    <w:rsid w:val="004565C4"/>
    <w:rsid w:val="004601AE"/>
    <w:rsid w:val="00460A33"/>
    <w:rsid w:val="004611D1"/>
    <w:rsid w:val="00461F62"/>
    <w:rsid w:val="00462552"/>
    <w:rsid w:val="0046390C"/>
    <w:rsid w:val="00463C37"/>
    <w:rsid w:val="00464483"/>
    <w:rsid w:val="00465C09"/>
    <w:rsid w:val="00466CF8"/>
    <w:rsid w:val="0046724D"/>
    <w:rsid w:val="00467511"/>
    <w:rsid w:val="00470F0F"/>
    <w:rsid w:val="0047111A"/>
    <w:rsid w:val="00471677"/>
    <w:rsid w:val="00473FDB"/>
    <w:rsid w:val="00474DE9"/>
    <w:rsid w:val="00474EE1"/>
    <w:rsid w:val="00476110"/>
    <w:rsid w:val="00476517"/>
    <w:rsid w:val="00477268"/>
    <w:rsid w:val="00480DB4"/>
    <w:rsid w:val="004818C1"/>
    <w:rsid w:val="00482B13"/>
    <w:rsid w:val="00483FBE"/>
    <w:rsid w:val="004840D8"/>
    <w:rsid w:val="004863F8"/>
    <w:rsid w:val="004873FF"/>
    <w:rsid w:val="004877D3"/>
    <w:rsid w:val="00487B46"/>
    <w:rsid w:val="00490DC7"/>
    <w:rsid w:val="00492D98"/>
    <w:rsid w:val="00494FAE"/>
    <w:rsid w:val="00495BC1"/>
    <w:rsid w:val="004961BD"/>
    <w:rsid w:val="0049788D"/>
    <w:rsid w:val="004A1EB4"/>
    <w:rsid w:val="004A2165"/>
    <w:rsid w:val="004A23F7"/>
    <w:rsid w:val="004A2AD6"/>
    <w:rsid w:val="004A644F"/>
    <w:rsid w:val="004A692D"/>
    <w:rsid w:val="004A7EE9"/>
    <w:rsid w:val="004A7FD8"/>
    <w:rsid w:val="004B03C6"/>
    <w:rsid w:val="004B070A"/>
    <w:rsid w:val="004B0DF0"/>
    <w:rsid w:val="004B137B"/>
    <w:rsid w:val="004B1F68"/>
    <w:rsid w:val="004B26FD"/>
    <w:rsid w:val="004B2F05"/>
    <w:rsid w:val="004B4A21"/>
    <w:rsid w:val="004B67D5"/>
    <w:rsid w:val="004B7CB8"/>
    <w:rsid w:val="004C12C1"/>
    <w:rsid w:val="004C4283"/>
    <w:rsid w:val="004D14D7"/>
    <w:rsid w:val="004D2067"/>
    <w:rsid w:val="004D58B4"/>
    <w:rsid w:val="004D5DCD"/>
    <w:rsid w:val="004D695A"/>
    <w:rsid w:val="004D718E"/>
    <w:rsid w:val="004D764F"/>
    <w:rsid w:val="004E00C9"/>
    <w:rsid w:val="004E3179"/>
    <w:rsid w:val="004E3AD9"/>
    <w:rsid w:val="004F001B"/>
    <w:rsid w:val="004F0C26"/>
    <w:rsid w:val="004F1177"/>
    <w:rsid w:val="004F11F3"/>
    <w:rsid w:val="004F1369"/>
    <w:rsid w:val="004F471B"/>
    <w:rsid w:val="004F6B68"/>
    <w:rsid w:val="004F6C2A"/>
    <w:rsid w:val="004F6E27"/>
    <w:rsid w:val="004F743D"/>
    <w:rsid w:val="005008C2"/>
    <w:rsid w:val="00502FB5"/>
    <w:rsid w:val="005045D5"/>
    <w:rsid w:val="00511E03"/>
    <w:rsid w:val="005171C1"/>
    <w:rsid w:val="0051743D"/>
    <w:rsid w:val="00517935"/>
    <w:rsid w:val="00517DC6"/>
    <w:rsid w:val="00517EE5"/>
    <w:rsid w:val="00520274"/>
    <w:rsid w:val="005217FF"/>
    <w:rsid w:val="0052217A"/>
    <w:rsid w:val="005228D6"/>
    <w:rsid w:val="00522DE7"/>
    <w:rsid w:val="0052483E"/>
    <w:rsid w:val="00527168"/>
    <w:rsid w:val="005306B0"/>
    <w:rsid w:val="00530C3E"/>
    <w:rsid w:val="00531CAE"/>
    <w:rsid w:val="005332DE"/>
    <w:rsid w:val="005336D5"/>
    <w:rsid w:val="0053439B"/>
    <w:rsid w:val="00534BFE"/>
    <w:rsid w:val="0053505D"/>
    <w:rsid w:val="00535607"/>
    <w:rsid w:val="00537872"/>
    <w:rsid w:val="0053794B"/>
    <w:rsid w:val="00537C48"/>
    <w:rsid w:val="00541D57"/>
    <w:rsid w:val="00542C44"/>
    <w:rsid w:val="00542DA2"/>
    <w:rsid w:val="00544041"/>
    <w:rsid w:val="00547B92"/>
    <w:rsid w:val="005507E2"/>
    <w:rsid w:val="00550A9F"/>
    <w:rsid w:val="00550EBD"/>
    <w:rsid w:val="00551478"/>
    <w:rsid w:val="005518DF"/>
    <w:rsid w:val="00551A9A"/>
    <w:rsid w:val="00555C99"/>
    <w:rsid w:val="0056079F"/>
    <w:rsid w:val="005607EF"/>
    <w:rsid w:val="00560C86"/>
    <w:rsid w:val="00560F1E"/>
    <w:rsid w:val="00567196"/>
    <w:rsid w:val="0056781B"/>
    <w:rsid w:val="00570941"/>
    <w:rsid w:val="0057148E"/>
    <w:rsid w:val="00572880"/>
    <w:rsid w:val="00573473"/>
    <w:rsid w:val="00573734"/>
    <w:rsid w:val="00574523"/>
    <w:rsid w:val="00575382"/>
    <w:rsid w:val="005759F0"/>
    <w:rsid w:val="00575CC7"/>
    <w:rsid w:val="00575FA6"/>
    <w:rsid w:val="005812F2"/>
    <w:rsid w:val="005815E7"/>
    <w:rsid w:val="00581A6A"/>
    <w:rsid w:val="0058403A"/>
    <w:rsid w:val="00584467"/>
    <w:rsid w:val="00585116"/>
    <w:rsid w:val="00585B5A"/>
    <w:rsid w:val="00587DF4"/>
    <w:rsid w:val="00590810"/>
    <w:rsid w:val="005915B1"/>
    <w:rsid w:val="00592496"/>
    <w:rsid w:val="0059360E"/>
    <w:rsid w:val="00593B09"/>
    <w:rsid w:val="00594CD5"/>
    <w:rsid w:val="005973AF"/>
    <w:rsid w:val="00597619"/>
    <w:rsid w:val="00597CE6"/>
    <w:rsid w:val="005A0A56"/>
    <w:rsid w:val="005A2611"/>
    <w:rsid w:val="005A3499"/>
    <w:rsid w:val="005A3B7B"/>
    <w:rsid w:val="005A3E30"/>
    <w:rsid w:val="005A4101"/>
    <w:rsid w:val="005A5B42"/>
    <w:rsid w:val="005A6B2A"/>
    <w:rsid w:val="005A75B0"/>
    <w:rsid w:val="005A7968"/>
    <w:rsid w:val="005B0F87"/>
    <w:rsid w:val="005B35E7"/>
    <w:rsid w:val="005B4889"/>
    <w:rsid w:val="005B4C8E"/>
    <w:rsid w:val="005B5D3E"/>
    <w:rsid w:val="005B7686"/>
    <w:rsid w:val="005C24F0"/>
    <w:rsid w:val="005C4051"/>
    <w:rsid w:val="005C4A2E"/>
    <w:rsid w:val="005C57CD"/>
    <w:rsid w:val="005C7056"/>
    <w:rsid w:val="005D16AB"/>
    <w:rsid w:val="005D2504"/>
    <w:rsid w:val="005D2752"/>
    <w:rsid w:val="005D2904"/>
    <w:rsid w:val="005D2EA8"/>
    <w:rsid w:val="005D3A6F"/>
    <w:rsid w:val="005E02B1"/>
    <w:rsid w:val="005E16DC"/>
    <w:rsid w:val="005E1C8E"/>
    <w:rsid w:val="005E20E9"/>
    <w:rsid w:val="005E20F0"/>
    <w:rsid w:val="005E2AFC"/>
    <w:rsid w:val="005E30B1"/>
    <w:rsid w:val="005E41D5"/>
    <w:rsid w:val="005E42DD"/>
    <w:rsid w:val="005E56B4"/>
    <w:rsid w:val="005E6FE8"/>
    <w:rsid w:val="005E7188"/>
    <w:rsid w:val="005E76ED"/>
    <w:rsid w:val="005F01EA"/>
    <w:rsid w:val="005F099E"/>
    <w:rsid w:val="005F5392"/>
    <w:rsid w:val="005F5BF2"/>
    <w:rsid w:val="005F631C"/>
    <w:rsid w:val="00602E66"/>
    <w:rsid w:val="0060365B"/>
    <w:rsid w:val="00603CF4"/>
    <w:rsid w:val="0060532B"/>
    <w:rsid w:val="0060585F"/>
    <w:rsid w:val="00605BD9"/>
    <w:rsid w:val="00605D77"/>
    <w:rsid w:val="0060661F"/>
    <w:rsid w:val="00606871"/>
    <w:rsid w:val="0060692C"/>
    <w:rsid w:val="00610459"/>
    <w:rsid w:val="0061330A"/>
    <w:rsid w:val="00617003"/>
    <w:rsid w:val="00621704"/>
    <w:rsid w:val="00623083"/>
    <w:rsid w:val="00624FD5"/>
    <w:rsid w:val="00624FD9"/>
    <w:rsid w:val="0062560D"/>
    <w:rsid w:val="0062607B"/>
    <w:rsid w:val="006262B0"/>
    <w:rsid w:val="00626907"/>
    <w:rsid w:val="00626990"/>
    <w:rsid w:val="00627217"/>
    <w:rsid w:val="00627676"/>
    <w:rsid w:val="00627F84"/>
    <w:rsid w:val="006308D3"/>
    <w:rsid w:val="00631722"/>
    <w:rsid w:val="00631932"/>
    <w:rsid w:val="00631942"/>
    <w:rsid w:val="006332E2"/>
    <w:rsid w:val="00634E6B"/>
    <w:rsid w:val="00637F5A"/>
    <w:rsid w:val="006400F6"/>
    <w:rsid w:val="0064130B"/>
    <w:rsid w:val="0064222E"/>
    <w:rsid w:val="00642C67"/>
    <w:rsid w:val="00642FCC"/>
    <w:rsid w:val="00644A07"/>
    <w:rsid w:val="00645D2E"/>
    <w:rsid w:val="006463A9"/>
    <w:rsid w:val="006463F3"/>
    <w:rsid w:val="006503B8"/>
    <w:rsid w:val="00650C9C"/>
    <w:rsid w:val="00651A25"/>
    <w:rsid w:val="00651F51"/>
    <w:rsid w:val="0065235F"/>
    <w:rsid w:val="006525F4"/>
    <w:rsid w:val="00653144"/>
    <w:rsid w:val="00653D5E"/>
    <w:rsid w:val="0066064C"/>
    <w:rsid w:val="00660A53"/>
    <w:rsid w:val="00660D7D"/>
    <w:rsid w:val="00661768"/>
    <w:rsid w:val="006625AD"/>
    <w:rsid w:val="00662A4A"/>
    <w:rsid w:val="006640B8"/>
    <w:rsid w:val="0066454A"/>
    <w:rsid w:val="006649A0"/>
    <w:rsid w:val="00666A0F"/>
    <w:rsid w:val="00666F80"/>
    <w:rsid w:val="006709B1"/>
    <w:rsid w:val="00675394"/>
    <w:rsid w:val="0067555C"/>
    <w:rsid w:val="00675AA8"/>
    <w:rsid w:val="00675B9A"/>
    <w:rsid w:val="006801FE"/>
    <w:rsid w:val="00680B6C"/>
    <w:rsid w:val="00680EFC"/>
    <w:rsid w:val="006818C3"/>
    <w:rsid w:val="00682215"/>
    <w:rsid w:val="006846A8"/>
    <w:rsid w:val="00684D14"/>
    <w:rsid w:val="0068549C"/>
    <w:rsid w:val="006856D4"/>
    <w:rsid w:val="00687E50"/>
    <w:rsid w:val="00687F7F"/>
    <w:rsid w:val="0069022B"/>
    <w:rsid w:val="006906BB"/>
    <w:rsid w:val="00690FEE"/>
    <w:rsid w:val="00691D2B"/>
    <w:rsid w:val="00692C0F"/>
    <w:rsid w:val="00693155"/>
    <w:rsid w:val="00693926"/>
    <w:rsid w:val="0069544C"/>
    <w:rsid w:val="006960EA"/>
    <w:rsid w:val="0069664D"/>
    <w:rsid w:val="006A0330"/>
    <w:rsid w:val="006A0ADC"/>
    <w:rsid w:val="006A1D72"/>
    <w:rsid w:val="006A3040"/>
    <w:rsid w:val="006A385E"/>
    <w:rsid w:val="006A450C"/>
    <w:rsid w:val="006A47D3"/>
    <w:rsid w:val="006A7359"/>
    <w:rsid w:val="006A7DD6"/>
    <w:rsid w:val="006B0476"/>
    <w:rsid w:val="006B25DE"/>
    <w:rsid w:val="006B2B9D"/>
    <w:rsid w:val="006B359C"/>
    <w:rsid w:val="006B4B7D"/>
    <w:rsid w:val="006B50EE"/>
    <w:rsid w:val="006B5462"/>
    <w:rsid w:val="006B6E30"/>
    <w:rsid w:val="006B7ACC"/>
    <w:rsid w:val="006C0281"/>
    <w:rsid w:val="006C26CB"/>
    <w:rsid w:val="006C3CEA"/>
    <w:rsid w:val="006C6D1C"/>
    <w:rsid w:val="006D0594"/>
    <w:rsid w:val="006D0BDF"/>
    <w:rsid w:val="006D1396"/>
    <w:rsid w:val="006D4AB4"/>
    <w:rsid w:val="006D4C6F"/>
    <w:rsid w:val="006D4DC0"/>
    <w:rsid w:val="006D628C"/>
    <w:rsid w:val="006D71EB"/>
    <w:rsid w:val="006D7527"/>
    <w:rsid w:val="006E0A11"/>
    <w:rsid w:val="006E0A39"/>
    <w:rsid w:val="006E0E41"/>
    <w:rsid w:val="006E2CA0"/>
    <w:rsid w:val="006E2CCC"/>
    <w:rsid w:val="006E2E76"/>
    <w:rsid w:val="006E37FF"/>
    <w:rsid w:val="006E3F3C"/>
    <w:rsid w:val="006E447E"/>
    <w:rsid w:val="006E471B"/>
    <w:rsid w:val="006E4B2F"/>
    <w:rsid w:val="006E4BEB"/>
    <w:rsid w:val="006E4C30"/>
    <w:rsid w:val="006E515E"/>
    <w:rsid w:val="006E5D3B"/>
    <w:rsid w:val="006E6669"/>
    <w:rsid w:val="006E6B87"/>
    <w:rsid w:val="006E7134"/>
    <w:rsid w:val="006E7421"/>
    <w:rsid w:val="006E7817"/>
    <w:rsid w:val="006E7FCD"/>
    <w:rsid w:val="006F3F67"/>
    <w:rsid w:val="006F4EA1"/>
    <w:rsid w:val="006F6A9C"/>
    <w:rsid w:val="006F7BFA"/>
    <w:rsid w:val="00700580"/>
    <w:rsid w:val="00701483"/>
    <w:rsid w:val="00701BBF"/>
    <w:rsid w:val="0070442D"/>
    <w:rsid w:val="0070758D"/>
    <w:rsid w:val="00712754"/>
    <w:rsid w:val="00712CE1"/>
    <w:rsid w:val="00712F60"/>
    <w:rsid w:val="00715860"/>
    <w:rsid w:val="00716907"/>
    <w:rsid w:val="00717E8C"/>
    <w:rsid w:val="00720F17"/>
    <w:rsid w:val="00721ADB"/>
    <w:rsid w:val="00721B9F"/>
    <w:rsid w:val="00721C9A"/>
    <w:rsid w:val="00721E9A"/>
    <w:rsid w:val="007232EC"/>
    <w:rsid w:val="007237CE"/>
    <w:rsid w:val="00724132"/>
    <w:rsid w:val="00724888"/>
    <w:rsid w:val="007254F8"/>
    <w:rsid w:val="00726F86"/>
    <w:rsid w:val="0073015B"/>
    <w:rsid w:val="007304AC"/>
    <w:rsid w:val="00732563"/>
    <w:rsid w:val="00732F0B"/>
    <w:rsid w:val="00733A75"/>
    <w:rsid w:val="00735A71"/>
    <w:rsid w:val="00736514"/>
    <w:rsid w:val="007366C6"/>
    <w:rsid w:val="007367E2"/>
    <w:rsid w:val="00737BB2"/>
    <w:rsid w:val="00740BEB"/>
    <w:rsid w:val="00742DAB"/>
    <w:rsid w:val="0074393D"/>
    <w:rsid w:val="00743B69"/>
    <w:rsid w:val="00745A9E"/>
    <w:rsid w:val="00745DE5"/>
    <w:rsid w:val="0075061D"/>
    <w:rsid w:val="00752585"/>
    <w:rsid w:val="0075666C"/>
    <w:rsid w:val="00762268"/>
    <w:rsid w:val="007647AA"/>
    <w:rsid w:val="00764EA2"/>
    <w:rsid w:val="00767D7B"/>
    <w:rsid w:val="007716D9"/>
    <w:rsid w:val="00771BF8"/>
    <w:rsid w:val="007747CA"/>
    <w:rsid w:val="00775B5B"/>
    <w:rsid w:val="00776352"/>
    <w:rsid w:val="00777F0D"/>
    <w:rsid w:val="00781FDE"/>
    <w:rsid w:val="00783A75"/>
    <w:rsid w:val="0078507E"/>
    <w:rsid w:val="00785ACF"/>
    <w:rsid w:val="00785B8C"/>
    <w:rsid w:val="00785D9A"/>
    <w:rsid w:val="00786068"/>
    <w:rsid w:val="007866FF"/>
    <w:rsid w:val="007904BE"/>
    <w:rsid w:val="007905C4"/>
    <w:rsid w:val="00791B78"/>
    <w:rsid w:val="00791E82"/>
    <w:rsid w:val="00793146"/>
    <w:rsid w:val="00794106"/>
    <w:rsid w:val="007953F2"/>
    <w:rsid w:val="007961F1"/>
    <w:rsid w:val="00797BE3"/>
    <w:rsid w:val="007A0D6A"/>
    <w:rsid w:val="007A3560"/>
    <w:rsid w:val="007A3DCC"/>
    <w:rsid w:val="007A4D98"/>
    <w:rsid w:val="007A6110"/>
    <w:rsid w:val="007A61A1"/>
    <w:rsid w:val="007B17E9"/>
    <w:rsid w:val="007B271F"/>
    <w:rsid w:val="007B4B9F"/>
    <w:rsid w:val="007B6334"/>
    <w:rsid w:val="007C06D1"/>
    <w:rsid w:val="007C1D8D"/>
    <w:rsid w:val="007C229B"/>
    <w:rsid w:val="007C22D4"/>
    <w:rsid w:val="007C2C3C"/>
    <w:rsid w:val="007C3474"/>
    <w:rsid w:val="007C4371"/>
    <w:rsid w:val="007C6F42"/>
    <w:rsid w:val="007C7EA5"/>
    <w:rsid w:val="007D326A"/>
    <w:rsid w:val="007D42C6"/>
    <w:rsid w:val="007D53DF"/>
    <w:rsid w:val="007D7946"/>
    <w:rsid w:val="007D7E23"/>
    <w:rsid w:val="007E038B"/>
    <w:rsid w:val="007E0926"/>
    <w:rsid w:val="007E0F0D"/>
    <w:rsid w:val="007E1CDA"/>
    <w:rsid w:val="007E496B"/>
    <w:rsid w:val="007E6B52"/>
    <w:rsid w:val="007E6D2C"/>
    <w:rsid w:val="007F0C3A"/>
    <w:rsid w:val="007F1BC3"/>
    <w:rsid w:val="007F1C40"/>
    <w:rsid w:val="007F259C"/>
    <w:rsid w:val="007F2AA0"/>
    <w:rsid w:val="007F3282"/>
    <w:rsid w:val="007F3901"/>
    <w:rsid w:val="007F3D58"/>
    <w:rsid w:val="007F3FCB"/>
    <w:rsid w:val="007F401C"/>
    <w:rsid w:val="007F4CF1"/>
    <w:rsid w:val="007F4D8D"/>
    <w:rsid w:val="007F4E96"/>
    <w:rsid w:val="007F720E"/>
    <w:rsid w:val="007F7600"/>
    <w:rsid w:val="007F7C40"/>
    <w:rsid w:val="00803E16"/>
    <w:rsid w:val="008042E4"/>
    <w:rsid w:val="00804BF6"/>
    <w:rsid w:val="008052F8"/>
    <w:rsid w:val="00811D27"/>
    <w:rsid w:val="0081293E"/>
    <w:rsid w:val="0081365C"/>
    <w:rsid w:val="008158E5"/>
    <w:rsid w:val="008159E0"/>
    <w:rsid w:val="00815D81"/>
    <w:rsid w:val="00817E20"/>
    <w:rsid w:val="00822B79"/>
    <w:rsid w:val="00823379"/>
    <w:rsid w:val="00823536"/>
    <w:rsid w:val="00823A6A"/>
    <w:rsid w:val="008242CB"/>
    <w:rsid w:val="008260D3"/>
    <w:rsid w:val="00826A21"/>
    <w:rsid w:val="00827DF3"/>
    <w:rsid w:val="00830EE8"/>
    <w:rsid w:val="008313E7"/>
    <w:rsid w:val="00835EDE"/>
    <w:rsid w:val="00837E44"/>
    <w:rsid w:val="00840751"/>
    <w:rsid w:val="0084395A"/>
    <w:rsid w:val="008447E3"/>
    <w:rsid w:val="0084483C"/>
    <w:rsid w:val="00846916"/>
    <w:rsid w:val="00846D64"/>
    <w:rsid w:val="00846FEF"/>
    <w:rsid w:val="00851078"/>
    <w:rsid w:val="008548CA"/>
    <w:rsid w:val="00856557"/>
    <w:rsid w:val="00860068"/>
    <w:rsid w:val="0086076F"/>
    <w:rsid w:val="008609FD"/>
    <w:rsid w:val="00865297"/>
    <w:rsid w:val="008665DA"/>
    <w:rsid w:val="00872914"/>
    <w:rsid w:val="0087397A"/>
    <w:rsid w:val="008761E7"/>
    <w:rsid w:val="008767C0"/>
    <w:rsid w:val="00876EFD"/>
    <w:rsid w:val="00877904"/>
    <w:rsid w:val="008807F3"/>
    <w:rsid w:val="00883313"/>
    <w:rsid w:val="00883527"/>
    <w:rsid w:val="00883FA7"/>
    <w:rsid w:val="00884AAA"/>
    <w:rsid w:val="00886705"/>
    <w:rsid w:val="00887B5C"/>
    <w:rsid w:val="00887B6E"/>
    <w:rsid w:val="00887E96"/>
    <w:rsid w:val="00890D67"/>
    <w:rsid w:val="00891278"/>
    <w:rsid w:val="00891CEA"/>
    <w:rsid w:val="00892C44"/>
    <w:rsid w:val="0089341C"/>
    <w:rsid w:val="008941E0"/>
    <w:rsid w:val="008954B3"/>
    <w:rsid w:val="00896670"/>
    <w:rsid w:val="00897D6C"/>
    <w:rsid w:val="008A1C87"/>
    <w:rsid w:val="008A241F"/>
    <w:rsid w:val="008A5A92"/>
    <w:rsid w:val="008B1C6D"/>
    <w:rsid w:val="008B1FE8"/>
    <w:rsid w:val="008B2C0E"/>
    <w:rsid w:val="008B2D0E"/>
    <w:rsid w:val="008B3F8A"/>
    <w:rsid w:val="008B4EC7"/>
    <w:rsid w:val="008B5A5C"/>
    <w:rsid w:val="008B64C0"/>
    <w:rsid w:val="008B6E24"/>
    <w:rsid w:val="008B7F8E"/>
    <w:rsid w:val="008B7FE4"/>
    <w:rsid w:val="008C076B"/>
    <w:rsid w:val="008C10B6"/>
    <w:rsid w:val="008C305E"/>
    <w:rsid w:val="008C335D"/>
    <w:rsid w:val="008C3A89"/>
    <w:rsid w:val="008C3F97"/>
    <w:rsid w:val="008C4678"/>
    <w:rsid w:val="008C5E85"/>
    <w:rsid w:val="008C6100"/>
    <w:rsid w:val="008C6DE0"/>
    <w:rsid w:val="008C7CA6"/>
    <w:rsid w:val="008D0020"/>
    <w:rsid w:val="008D0E7D"/>
    <w:rsid w:val="008D1D68"/>
    <w:rsid w:val="008D2542"/>
    <w:rsid w:val="008D2889"/>
    <w:rsid w:val="008D4977"/>
    <w:rsid w:val="008D4CE7"/>
    <w:rsid w:val="008D67D6"/>
    <w:rsid w:val="008E3117"/>
    <w:rsid w:val="008E4D74"/>
    <w:rsid w:val="008E5F81"/>
    <w:rsid w:val="008E6B13"/>
    <w:rsid w:val="008E73D5"/>
    <w:rsid w:val="008E7871"/>
    <w:rsid w:val="008E7D90"/>
    <w:rsid w:val="008E7DD8"/>
    <w:rsid w:val="008F1384"/>
    <w:rsid w:val="008F36C3"/>
    <w:rsid w:val="008F7422"/>
    <w:rsid w:val="008F74DD"/>
    <w:rsid w:val="00900495"/>
    <w:rsid w:val="0090196F"/>
    <w:rsid w:val="00901FD4"/>
    <w:rsid w:val="00902644"/>
    <w:rsid w:val="00903DAB"/>
    <w:rsid w:val="00905524"/>
    <w:rsid w:val="00905633"/>
    <w:rsid w:val="00906233"/>
    <w:rsid w:val="00907A7A"/>
    <w:rsid w:val="00907CC8"/>
    <w:rsid w:val="0091334C"/>
    <w:rsid w:val="00915753"/>
    <w:rsid w:val="00915DB9"/>
    <w:rsid w:val="00915E1D"/>
    <w:rsid w:val="009162AF"/>
    <w:rsid w:val="009200E3"/>
    <w:rsid w:val="0092112A"/>
    <w:rsid w:val="00922162"/>
    <w:rsid w:val="00923A7F"/>
    <w:rsid w:val="00924E58"/>
    <w:rsid w:val="00924EC2"/>
    <w:rsid w:val="009252F3"/>
    <w:rsid w:val="00925C69"/>
    <w:rsid w:val="009260AA"/>
    <w:rsid w:val="00926ADD"/>
    <w:rsid w:val="009276C9"/>
    <w:rsid w:val="009307E0"/>
    <w:rsid w:val="009323D5"/>
    <w:rsid w:val="009324F7"/>
    <w:rsid w:val="009328A5"/>
    <w:rsid w:val="00933C33"/>
    <w:rsid w:val="00933DDE"/>
    <w:rsid w:val="009341C9"/>
    <w:rsid w:val="009372FA"/>
    <w:rsid w:val="00937FCC"/>
    <w:rsid w:val="0094220D"/>
    <w:rsid w:val="009424C4"/>
    <w:rsid w:val="00942CAC"/>
    <w:rsid w:val="00945CE9"/>
    <w:rsid w:val="00945E18"/>
    <w:rsid w:val="00945EC5"/>
    <w:rsid w:val="009467D9"/>
    <w:rsid w:val="009474AA"/>
    <w:rsid w:val="009479EB"/>
    <w:rsid w:val="00947EBC"/>
    <w:rsid w:val="00950742"/>
    <w:rsid w:val="00950A33"/>
    <w:rsid w:val="00951CB5"/>
    <w:rsid w:val="00953066"/>
    <w:rsid w:val="0095429F"/>
    <w:rsid w:val="0095586C"/>
    <w:rsid w:val="00956135"/>
    <w:rsid w:val="00956FC7"/>
    <w:rsid w:val="0095731E"/>
    <w:rsid w:val="00960569"/>
    <w:rsid w:val="00960A26"/>
    <w:rsid w:val="00962635"/>
    <w:rsid w:val="00963F11"/>
    <w:rsid w:val="00965660"/>
    <w:rsid w:val="009662F0"/>
    <w:rsid w:val="00970BC6"/>
    <w:rsid w:val="00970E35"/>
    <w:rsid w:val="00971198"/>
    <w:rsid w:val="009712CE"/>
    <w:rsid w:val="0097202E"/>
    <w:rsid w:val="0097283E"/>
    <w:rsid w:val="00975C0A"/>
    <w:rsid w:val="00976085"/>
    <w:rsid w:val="009769D1"/>
    <w:rsid w:val="00976BCA"/>
    <w:rsid w:val="00977995"/>
    <w:rsid w:val="009824BA"/>
    <w:rsid w:val="00982CCF"/>
    <w:rsid w:val="00984745"/>
    <w:rsid w:val="00984CEF"/>
    <w:rsid w:val="0098538E"/>
    <w:rsid w:val="00986689"/>
    <w:rsid w:val="009870ED"/>
    <w:rsid w:val="009873C3"/>
    <w:rsid w:val="009875E9"/>
    <w:rsid w:val="00987B7B"/>
    <w:rsid w:val="00991749"/>
    <w:rsid w:val="00991A3A"/>
    <w:rsid w:val="0099376D"/>
    <w:rsid w:val="0099377E"/>
    <w:rsid w:val="009A0C4B"/>
    <w:rsid w:val="009A0CA7"/>
    <w:rsid w:val="009A0FF6"/>
    <w:rsid w:val="009A1556"/>
    <w:rsid w:val="009A3028"/>
    <w:rsid w:val="009A38BB"/>
    <w:rsid w:val="009A3F56"/>
    <w:rsid w:val="009A4CFC"/>
    <w:rsid w:val="009A7437"/>
    <w:rsid w:val="009B3F8C"/>
    <w:rsid w:val="009B51C0"/>
    <w:rsid w:val="009B63FD"/>
    <w:rsid w:val="009B6506"/>
    <w:rsid w:val="009B6E07"/>
    <w:rsid w:val="009B7D68"/>
    <w:rsid w:val="009C0C61"/>
    <w:rsid w:val="009C0E12"/>
    <w:rsid w:val="009C0E21"/>
    <w:rsid w:val="009C3175"/>
    <w:rsid w:val="009C3C91"/>
    <w:rsid w:val="009C4496"/>
    <w:rsid w:val="009C44BF"/>
    <w:rsid w:val="009C4AEB"/>
    <w:rsid w:val="009C4FAB"/>
    <w:rsid w:val="009C6219"/>
    <w:rsid w:val="009C7D56"/>
    <w:rsid w:val="009D09D5"/>
    <w:rsid w:val="009D406E"/>
    <w:rsid w:val="009D5977"/>
    <w:rsid w:val="009D7B55"/>
    <w:rsid w:val="009D7D3D"/>
    <w:rsid w:val="009E123D"/>
    <w:rsid w:val="009E132E"/>
    <w:rsid w:val="009E157D"/>
    <w:rsid w:val="009E455B"/>
    <w:rsid w:val="009E635C"/>
    <w:rsid w:val="009E6632"/>
    <w:rsid w:val="009E6740"/>
    <w:rsid w:val="009F0E27"/>
    <w:rsid w:val="009F2284"/>
    <w:rsid w:val="009F283F"/>
    <w:rsid w:val="009F4F22"/>
    <w:rsid w:val="009F6CDE"/>
    <w:rsid w:val="00A00B59"/>
    <w:rsid w:val="00A01569"/>
    <w:rsid w:val="00A0272C"/>
    <w:rsid w:val="00A0284B"/>
    <w:rsid w:val="00A02B93"/>
    <w:rsid w:val="00A02BA5"/>
    <w:rsid w:val="00A032AE"/>
    <w:rsid w:val="00A03B39"/>
    <w:rsid w:val="00A04BAB"/>
    <w:rsid w:val="00A06F9B"/>
    <w:rsid w:val="00A07A8B"/>
    <w:rsid w:val="00A104A9"/>
    <w:rsid w:val="00A107D9"/>
    <w:rsid w:val="00A121A9"/>
    <w:rsid w:val="00A15E64"/>
    <w:rsid w:val="00A27CF7"/>
    <w:rsid w:val="00A30552"/>
    <w:rsid w:val="00A328C3"/>
    <w:rsid w:val="00A365A0"/>
    <w:rsid w:val="00A37000"/>
    <w:rsid w:val="00A405AC"/>
    <w:rsid w:val="00A42530"/>
    <w:rsid w:val="00A4408F"/>
    <w:rsid w:val="00A447EA"/>
    <w:rsid w:val="00A44FE1"/>
    <w:rsid w:val="00A4514C"/>
    <w:rsid w:val="00A4549F"/>
    <w:rsid w:val="00A45C16"/>
    <w:rsid w:val="00A46040"/>
    <w:rsid w:val="00A468A8"/>
    <w:rsid w:val="00A47956"/>
    <w:rsid w:val="00A50265"/>
    <w:rsid w:val="00A50AB7"/>
    <w:rsid w:val="00A50FE5"/>
    <w:rsid w:val="00A51669"/>
    <w:rsid w:val="00A5226B"/>
    <w:rsid w:val="00A522FD"/>
    <w:rsid w:val="00A52829"/>
    <w:rsid w:val="00A539B1"/>
    <w:rsid w:val="00A53F2B"/>
    <w:rsid w:val="00A54587"/>
    <w:rsid w:val="00A548BF"/>
    <w:rsid w:val="00A552C5"/>
    <w:rsid w:val="00A553F9"/>
    <w:rsid w:val="00A5548C"/>
    <w:rsid w:val="00A56B0A"/>
    <w:rsid w:val="00A5776C"/>
    <w:rsid w:val="00A64C6D"/>
    <w:rsid w:val="00A651C3"/>
    <w:rsid w:val="00A66104"/>
    <w:rsid w:val="00A67B3A"/>
    <w:rsid w:val="00A70177"/>
    <w:rsid w:val="00A732F8"/>
    <w:rsid w:val="00A751D4"/>
    <w:rsid w:val="00A7606A"/>
    <w:rsid w:val="00A80705"/>
    <w:rsid w:val="00A81283"/>
    <w:rsid w:val="00A81C76"/>
    <w:rsid w:val="00A83FA1"/>
    <w:rsid w:val="00A86186"/>
    <w:rsid w:val="00A907D7"/>
    <w:rsid w:val="00A93C8E"/>
    <w:rsid w:val="00A93C9F"/>
    <w:rsid w:val="00A9586C"/>
    <w:rsid w:val="00AA33F6"/>
    <w:rsid w:val="00AA4233"/>
    <w:rsid w:val="00AA5E84"/>
    <w:rsid w:val="00AA7123"/>
    <w:rsid w:val="00AB06D2"/>
    <w:rsid w:val="00AB0BB1"/>
    <w:rsid w:val="00AB1DBE"/>
    <w:rsid w:val="00AB24DD"/>
    <w:rsid w:val="00AB31CE"/>
    <w:rsid w:val="00AB4DE2"/>
    <w:rsid w:val="00AB7695"/>
    <w:rsid w:val="00AB7DD9"/>
    <w:rsid w:val="00AC01D3"/>
    <w:rsid w:val="00AC0A9A"/>
    <w:rsid w:val="00AC1BAC"/>
    <w:rsid w:val="00AC47CD"/>
    <w:rsid w:val="00AC7309"/>
    <w:rsid w:val="00AC7B51"/>
    <w:rsid w:val="00AC7ECC"/>
    <w:rsid w:val="00AD177D"/>
    <w:rsid w:val="00AD3CF3"/>
    <w:rsid w:val="00AD528C"/>
    <w:rsid w:val="00AD6123"/>
    <w:rsid w:val="00AD6A8A"/>
    <w:rsid w:val="00AE163E"/>
    <w:rsid w:val="00AE1FF2"/>
    <w:rsid w:val="00AE256F"/>
    <w:rsid w:val="00AE3DAE"/>
    <w:rsid w:val="00AE4167"/>
    <w:rsid w:val="00AE53A4"/>
    <w:rsid w:val="00AE7199"/>
    <w:rsid w:val="00AF0477"/>
    <w:rsid w:val="00AF07A6"/>
    <w:rsid w:val="00AF0A42"/>
    <w:rsid w:val="00AF4ADC"/>
    <w:rsid w:val="00AF6F1B"/>
    <w:rsid w:val="00AF7771"/>
    <w:rsid w:val="00B0177A"/>
    <w:rsid w:val="00B03419"/>
    <w:rsid w:val="00B0438D"/>
    <w:rsid w:val="00B04435"/>
    <w:rsid w:val="00B04667"/>
    <w:rsid w:val="00B05A39"/>
    <w:rsid w:val="00B0796A"/>
    <w:rsid w:val="00B07AC9"/>
    <w:rsid w:val="00B103B4"/>
    <w:rsid w:val="00B10693"/>
    <w:rsid w:val="00B10AD1"/>
    <w:rsid w:val="00B12FB5"/>
    <w:rsid w:val="00B201FE"/>
    <w:rsid w:val="00B20B6C"/>
    <w:rsid w:val="00B21B01"/>
    <w:rsid w:val="00B2471D"/>
    <w:rsid w:val="00B25229"/>
    <w:rsid w:val="00B27D90"/>
    <w:rsid w:val="00B3171E"/>
    <w:rsid w:val="00B321CE"/>
    <w:rsid w:val="00B3256A"/>
    <w:rsid w:val="00B33A72"/>
    <w:rsid w:val="00B33C46"/>
    <w:rsid w:val="00B33D96"/>
    <w:rsid w:val="00B34E14"/>
    <w:rsid w:val="00B35E3D"/>
    <w:rsid w:val="00B36BC8"/>
    <w:rsid w:val="00B37044"/>
    <w:rsid w:val="00B40031"/>
    <w:rsid w:val="00B4033A"/>
    <w:rsid w:val="00B4167F"/>
    <w:rsid w:val="00B430D6"/>
    <w:rsid w:val="00B4649A"/>
    <w:rsid w:val="00B521B4"/>
    <w:rsid w:val="00B525B9"/>
    <w:rsid w:val="00B53411"/>
    <w:rsid w:val="00B542A3"/>
    <w:rsid w:val="00B574D3"/>
    <w:rsid w:val="00B613B0"/>
    <w:rsid w:val="00B61E89"/>
    <w:rsid w:val="00B6207F"/>
    <w:rsid w:val="00B6289D"/>
    <w:rsid w:val="00B639A3"/>
    <w:rsid w:val="00B63ADE"/>
    <w:rsid w:val="00B63CBA"/>
    <w:rsid w:val="00B6532B"/>
    <w:rsid w:val="00B66339"/>
    <w:rsid w:val="00B675B1"/>
    <w:rsid w:val="00B7048E"/>
    <w:rsid w:val="00B704CE"/>
    <w:rsid w:val="00B71C34"/>
    <w:rsid w:val="00B72709"/>
    <w:rsid w:val="00B72C8B"/>
    <w:rsid w:val="00B7305D"/>
    <w:rsid w:val="00B73167"/>
    <w:rsid w:val="00B731EE"/>
    <w:rsid w:val="00B73F59"/>
    <w:rsid w:val="00B75632"/>
    <w:rsid w:val="00B76D13"/>
    <w:rsid w:val="00B77EFB"/>
    <w:rsid w:val="00B8043D"/>
    <w:rsid w:val="00B836DB"/>
    <w:rsid w:val="00B84126"/>
    <w:rsid w:val="00B84E82"/>
    <w:rsid w:val="00B85008"/>
    <w:rsid w:val="00B86768"/>
    <w:rsid w:val="00B871D1"/>
    <w:rsid w:val="00B87A3B"/>
    <w:rsid w:val="00B92071"/>
    <w:rsid w:val="00B92C78"/>
    <w:rsid w:val="00B955EB"/>
    <w:rsid w:val="00BA19DE"/>
    <w:rsid w:val="00BA23A4"/>
    <w:rsid w:val="00BA2402"/>
    <w:rsid w:val="00BA5EC8"/>
    <w:rsid w:val="00BA71F0"/>
    <w:rsid w:val="00BA77AF"/>
    <w:rsid w:val="00BB01E5"/>
    <w:rsid w:val="00BB0A30"/>
    <w:rsid w:val="00BB0F5D"/>
    <w:rsid w:val="00BB1D0E"/>
    <w:rsid w:val="00BB1DA5"/>
    <w:rsid w:val="00BB219C"/>
    <w:rsid w:val="00BB251E"/>
    <w:rsid w:val="00BB3943"/>
    <w:rsid w:val="00BB3CF5"/>
    <w:rsid w:val="00BB5361"/>
    <w:rsid w:val="00BB5BEC"/>
    <w:rsid w:val="00BB5D14"/>
    <w:rsid w:val="00BB5EBA"/>
    <w:rsid w:val="00BB5F80"/>
    <w:rsid w:val="00BB75E1"/>
    <w:rsid w:val="00BB7B5B"/>
    <w:rsid w:val="00BB7F72"/>
    <w:rsid w:val="00BC00BB"/>
    <w:rsid w:val="00BC0482"/>
    <w:rsid w:val="00BC13ED"/>
    <w:rsid w:val="00BC26C8"/>
    <w:rsid w:val="00BC55F2"/>
    <w:rsid w:val="00BD0254"/>
    <w:rsid w:val="00BD047B"/>
    <w:rsid w:val="00BD0AD6"/>
    <w:rsid w:val="00BD1409"/>
    <w:rsid w:val="00BD1666"/>
    <w:rsid w:val="00BD339C"/>
    <w:rsid w:val="00BD38DD"/>
    <w:rsid w:val="00BD47C5"/>
    <w:rsid w:val="00BD56E4"/>
    <w:rsid w:val="00BE06C1"/>
    <w:rsid w:val="00BE07DB"/>
    <w:rsid w:val="00BE111C"/>
    <w:rsid w:val="00BE145F"/>
    <w:rsid w:val="00BE27EC"/>
    <w:rsid w:val="00BE2E32"/>
    <w:rsid w:val="00BE2F07"/>
    <w:rsid w:val="00BE3248"/>
    <w:rsid w:val="00BE3C93"/>
    <w:rsid w:val="00BE520B"/>
    <w:rsid w:val="00BE52E8"/>
    <w:rsid w:val="00BE55A4"/>
    <w:rsid w:val="00BE6866"/>
    <w:rsid w:val="00BF0259"/>
    <w:rsid w:val="00BF0A3A"/>
    <w:rsid w:val="00BF3FF3"/>
    <w:rsid w:val="00BF4359"/>
    <w:rsid w:val="00BF5623"/>
    <w:rsid w:val="00BF5C18"/>
    <w:rsid w:val="00BF5CD7"/>
    <w:rsid w:val="00C0043B"/>
    <w:rsid w:val="00C00521"/>
    <w:rsid w:val="00C00D46"/>
    <w:rsid w:val="00C01AFF"/>
    <w:rsid w:val="00C026D3"/>
    <w:rsid w:val="00C04789"/>
    <w:rsid w:val="00C06BE1"/>
    <w:rsid w:val="00C07EAC"/>
    <w:rsid w:val="00C07F09"/>
    <w:rsid w:val="00C1119E"/>
    <w:rsid w:val="00C11BFA"/>
    <w:rsid w:val="00C11FB8"/>
    <w:rsid w:val="00C1213C"/>
    <w:rsid w:val="00C144AE"/>
    <w:rsid w:val="00C1488F"/>
    <w:rsid w:val="00C14C17"/>
    <w:rsid w:val="00C161B8"/>
    <w:rsid w:val="00C16F98"/>
    <w:rsid w:val="00C218BA"/>
    <w:rsid w:val="00C23211"/>
    <w:rsid w:val="00C23290"/>
    <w:rsid w:val="00C23D02"/>
    <w:rsid w:val="00C2450E"/>
    <w:rsid w:val="00C31091"/>
    <w:rsid w:val="00C327B2"/>
    <w:rsid w:val="00C34593"/>
    <w:rsid w:val="00C3579A"/>
    <w:rsid w:val="00C35DEA"/>
    <w:rsid w:val="00C379C1"/>
    <w:rsid w:val="00C402DA"/>
    <w:rsid w:val="00C40B53"/>
    <w:rsid w:val="00C4290B"/>
    <w:rsid w:val="00C43A7D"/>
    <w:rsid w:val="00C447A5"/>
    <w:rsid w:val="00C447F3"/>
    <w:rsid w:val="00C452F5"/>
    <w:rsid w:val="00C45F34"/>
    <w:rsid w:val="00C47943"/>
    <w:rsid w:val="00C50A3F"/>
    <w:rsid w:val="00C51318"/>
    <w:rsid w:val="00C52031"/>
    <w:rsid w:val="00C52901"/>
    <w:rsid w:val="00C52948"/>
    <w:rsid w:val="00C52D56"/>
    <w:rsid w:val="00C5318D"/>
    <w:rsid w:val="00C55191"/>
    <w:rsid w:val="00C55EF7"/>
    <w:rsid w:val="00C62029"/>
    <w:rsid w:val="00C63E96"/>
    <w:rsid w:val="00C64F5F"/>
    <w:rsid w:val="00C65C0A"/>
    <w:rsid w:val="00C65F4E"/>
    <w:rsid w:val="00C65F6E"/>
    <w:rsid w:val="00C660C9"/>
    <w:rsid w:val="00C67019"/>
    <w:rsid w:val="00C72008"/>
    <w:rsid w:val="00C72690"/>
    <w:rsid w:val="00C7309D"/>
    <w:rsid w:val="00C7382A"/>
    <w:rsid w:val="00C7402D"/>
    <w:rsid w:val="00C7488D"/>
    <w:rsid w:val="00C77BEB"/>
    <w:rsid w:val="00C80B84"/>
    <w:rsid w:val="00C81BFD"/>
    <w:rsid w:val="00C86D7C"/>
    <w:rsid w:val="00C87EE1"/>
    <w:rsid w:val="00C909A3"/>
    <w:rsid w:val="00C91B27"/>
    <w:rsid w:val="00C91B35"/>
    <w:rsid w:val="00C91E07"/>
    <w:rsid w:val="00C926F8"/>
    <w:rsid w:val="00C94E9D"/>
    <w:rsid w:val="00C96566"/>
    <w:rsid w:val="00CA0371"/>
    <w:rsid w:val="00CA27A3"/>
    <w:rsid w:val="00CA5A5A"/>
    <w:rsid w:val="00CA605D"/>
    <w:rsid w:val="00CA7411"/>
    <w:rsid w:val="00CB02A4"/>
    <w:rsid w:val="00CB04AA"/>
    <w:rsid w:val="00CB1EAF"/>
    <w:rsid w:val="00CB3152"/>
    <w:rsid w:val="00CB6E52"/>
    <w:rsid w:val="00CB6F4A"/>
    <w:rsid w:val="00CB7BA8"/>
    <w:rsid w:val="00CC00A4"/>
    <w:rsid w:val="00CC0C81"/>
    <w:rsid w:val="00CC13FD"/>
    <w:rsid w:val="00CC14CD"/>
    <w:rsid w:val="00CC1B65"/>
    <w:rsid w:val="00CC5027"/>
    <w:rsid w:val="00CC5207"/>
    <w:rsid w:val="00CC6526"/>
    <w:rsid w:val="00CC7820"/>
    <w:rsid w:val="00CC784C"/>
    <w:rsid w:val="00CD0083"/>
    <w:rsid w:val="00CD0CF3"/>
    <w:rsid w:val="00CD36A8"/>
    <w:rsid w:val="00CD4243"/>
    <w:rsid w:val="00CD662C"/>
    <w:rsid w:val="00CE1175"/>
    <w:rsid w:val="00CE19D1"/>
    <w:rsid w:val="00CE3B74"/>
    <w:rsid w:val="00CE4916"/>
    <w:rsid w:val="00CE4F3D"/>
    <w:rsid w:val="00CE69F1"/>
    <w:rsid w:val="00CF06A2"/>
    <w:rsid w:val="00CF0DD4"/>
    <w:rsid w:val="00CF19AD"/>
    <w:rsid w:val="00CF4740"/>
    <w:rsid w:val="00CF51EC"/>
    <w:rsid w:val="00CF5D2E"/>
    <w:rsid w:val="00CF766D"/>
    <w:rsid w:val="00CF78EE"/>
    <w:rsid w:val="00D01BF4"/>
    <w:rsid w:val="00D02E45"/>
    <w:rsid w:val="00D0403A"/>
    <w:rsid w:val="00D0512D"/>
    <w:rsid w:val="00D05C8A"/>
    <w:rsid w:val="00D070B6"/>
    <w:rsid w:val="00D101ED"/>
    <w:rsid w:val="00D1110B"/>
    <w:rsid w:val="00D11BC9"/>
    <w:rsid w:val="00D11D8D"/>
    <w:rsid w:val="00D14021"/>
    <w:rsid w:val="00D14215"/>
    <w:rsid w:val="00D15728"/>
    <w:rsid w:val="00D15D30"/>
    <w:rsid w:val="00D20D47"/>
    <w:rsid w:val="00D22410"/>
    <w:rsid w:val="00D24DB6"/>
    <w:rsid w:val="00D24EAC"/>
    <w:rsid w:val="00D25E94"/>
    <w:rsid w:val="00D27683"/>
    <w:rsid w:val="00D306EB"/>
    <w:rsid w:val="00D31582"/>
    <w:rsid w:val="00D32130"/>
    <w:rsid w:val="00D328EC"/>
    <w:rsid w:val="00D33273"/>
    <w:rsid w:val="00D3428B"/>
    <w:rsid w:val="00D34AEB"/>
    <w:rsid w:val="00D35917"/>
    <w:rsid w:val="00D3628C"/>
    <w:rsid w:val="00D37411"/>
    <w:rsid w:val="00D4065E"/>
    <w:rsid w:val="00D452DB"/>
    <w:rsid w:val="00D46393"/>
    <w:rsid w:val="00D46C6C"/>
    <w:rsid w:val="00D502BE"/>
    <w:rsid w:val="00D5049B"/>
    <w:rsid w:val="00D509A5"/>
    <w:rsid w:val="00D50DBF"/>
    <w:rsid w:val="00D5269B"/>
    <w:rsid w:val="00D55EE5"/>
    <w:rsid w:val="00D57A16"/>
    <w:rsid w:val="00D600A7"/>
    <w:rsid w:val="00D620D7"/>
    <w:rsid w:val="00D623AB"/>
    <w:rsid w:val="00D6270B"/>
    <w:rsid w:val="00D62731"/>
    <w:rsid w:val="00D6641E"/>
    <w:rsid w:val="00D677A9"/>
    <w:rsid w:val="00D7322B"/>
    <w:rsid w:val="00D735A1"/>
    <w:rsid w:val="00D736EA"/>
    <w:rsid w:val="00D73EFF"/>
    <w:rsid w:val="00D74444"/>
    <w:rsid w:val="00D74F12"/>
    <w:rsid w:val="00D76812"/>
    <w:rsid w:val="00D76A19"/>
    <w:rsid w:val="00D8065E"/>
    <w:rsid w:val="00D80908"/>
    <w:rsid w:val="00D809E9"/>
    <w:rsid w:val="00D818F9"/>
    <w:rsid w:val="00D8199B"/>
    <w:rsid w:val="00D82230"/>
    <w:rsid w:val="00D83C0F"/>
    <w:rsid w:val="00D83D02"/>
    <w:rsid w:val="00D854CE"/>
    <w:rsid w:val="00D85652"/>
    <w:rsid w:val="00D85C4D"/>
    <w:rsid w:val="00D864D6"/>
    <w:rsid w:val="00D86942"/>
    <w:rsid w:val="00D8759E"/>
    <w:rsid w:val="00D90EEA"/>
    <w:rsid w:val="00D91157"/>
    <w:rsid w:val="00D91218"/>
    <w:rsid w:val="00D92B18"/>
    <w:rsid w:val="00D94A86"/>
    <w:rsid w:val="00D95FE0"/>
    <w:rsid w:val="00D9648B"/>
    <w:rsid w:val="00D96BD7"/>
    <w:rsid w:val="00DA0A9A"/>
    <w:rsid w:val="00DA0C60"/>
    <w:rsid w:val="00DA1D03"/>
    <w:rsid w:val="00DA49D5"/>
    <w:rsid w:val="00DA5E77"/>
    <w:rsid w:val="00DA6879"/>
    <w:rsid w:val="00DA7690"/>
    <w:rsid w:val="00DA7808"/>
    <w:rsid w:val="00DB116D"/>
    <w:rsid w:val="00DB399B"/>
    <w:rsid w:val="00DB49E7"/>
    <w:rsid w:val="00DB5193"/>
    <w:rsid w:val="00DB56CE"/>
    <w:rsid w:val="00DC1124"/>
    <w:rsid w:val="00DC16C2"/>
    <w:rsid w:val="00DC1734"/>
    <w:rsid w:val="00DC5774"/>
    <w:rsid w:val="00DC747C"/>
    <w:rsid w:val="00DC7E44"/>
    <w:rsid w:val="00DC7EE7"/>
    <w:rsid w:val="00DD0D0E"/>
    <w:rsid w:val="00DD180D"/>
    <w:rsid w:val="00DD1DC3"/>
    <w:rsid w:val="00DD2816"/>
    <w:rsid w:val="00DD3947"/>
    <w:rsid w:val="00DD50E2"/>
    <w:rsid w:val="00DD6527"/>
    <w:rsid w:val="00DE250F"/>
    <w:rsid w:val="00DE32E9"/>
    <w:rsid w:val="00DE4C94"/>
    <w:rsid w:val="00DE617A"/>
    <w:rsid w:val="00DE6194"/>
    <w:rsid w:val="00DF0F64"/>
    <w:rsid w:val="00DF10E3"/>
    <w:rsid w:val="00DF1BDC"/>
    <w:rsid w:val="00DF2AD7"/>
    <w:rsid w:val="00DF2D0D"/>
    <w:rsid w:val="00DF366F"/>
    <w:rsid w:val="00DF3E02"/>
    <w:rsid w:val="00DF45C5"/>
    <w:rsid w:val="00DF4D33"/>
    <w:rsid w:val="00DF5CAD"/>
    <w:rsid w:val="00DF6954"/>
    <w:rsid w:val="00DF6C7C"/>
    <w:rsid w:val="00DF6CDC"/>
    <w:rsid w:val="00E00BEC"/>
    <w:rsid w:val="00E010D3"/>
    <w:rsid w:val="00E0245A"/>
    <w:rsid w:val="00E04ECA"/>
    <w:rsid w:val="00E05082"/>
    <w:rsid w:val="00E05C70"/>
    <w:rsid w:val="00E10190"/>
    <w:rsid w:val="00E11465"/>
    <w:rsid w:val="00E12155"/>
    <w:rsid w:val="00E12801"/>
    <w:rsid w:val="00E15C50"/>
    <w:rsid w:val="00E15DFF"/>
    <w:rsid w:val="00E17953"/>
    <w:rsid w:val="00E20F43"/>
    <w:rsid w:val="00E21024"/>
    <w:rsid w:val="00E210CE"/>
    <w:rsid w:val="00E21953"/>
    <w:rsid w:val="00E22363"/>
    <w:rsid w:val="00E2488E"/>
    <w:rsid w:val="00E24F6E"/>
    <w:rsid w:val="00E267B6"/>
    <w:rsid w:val="00E26F98"/>
    <w:rsid w:val="00E273D0"/>
    <w:rsid w:val="00E2782B"/>
    <w:rsid w:val="00E31F1A"/>
    <w:rsid w:val="00E32674"/>
    <w:rsid w:val="00E3280F"/>
    <w:rsid w:val="00E32B2F"/>
    <w:rsid w:val="00E32E44"/>
    <w:rsid w:val="00E33415"/>
    <w:rsid w:val="00E334F2"/>
    <w:rsid w:val="00E33954"/>
    <w:rsid w:val="00E34015"/>
    <w:rsid w:val="00E34582"/>
    <w:rsid w:val="00E3567E"/>
    <w:rsid w:val="00E36036"/>
    <w:rsid w:val="00E36128"/>
    <w:rsid w:val="00E361DE"/>
    <w:rsid w:val="00E368B0"/>
    <w:rsid w:val="00E40A94"/>
    <w:rsid w:val="00E40E26"/>
    <w:rsid w:val="00E42C21"/>
    <w:rsid w:val="00E44F1E"/>
    <w:rsid w:val="00E45E22"/>
    <w:rsid w:val="00E50162"/>
    <w:rsid w:val="00E50480"/>
    <w:rsid w:val="00E52023"/>
    <w:rsid w:val="00E52C37"/>
    <w:rsid w:val="00E53B59"/>
    <w:rsid w:val="00E54934"/>
    <w:rsid w:val="00E558A7"/>
    <w:rsid w:val="00E569DB"/>
    <w:rsid w:val="00E57BC3"/>
    <w:rsid w:val="00E57E60"/>
    <w:rsid w:val="00E60C4F"/>
    <w:rsid w:val="00E62755"/>
    <w:rsid w:val="00E62F84"/>
    <w:rsid w:val="00E63403"/>
    <w:rsid w:val="00E64C97"/>
    <w:rsid w:val="00E67938"/>
    <w:rsid w:val="00E7113C"/>
    <w:rsid w:val="00E71E6F"/>
    <w:rsid w:val="00E73487"/>
    <w:rsid w:val="00E80BF2"/>
    <w:rsid w:val="00E81168"/>
    <w:rsid w:val="00E81FB0"/>
    <w:rsid w:val="00E821C5"/>
    <w:rsid w:val="00E84E86"/>
    <w:rsid w:val="00E853D6"/>
    <w:rsid w:val="00E864D5"/>
    <w:rsid w:val="00E86868"/>
    <w:rsid w:val="00E86A47"/>
    <w:rsid w:val="00E871B5"/>
    <w:rsid w:val="00E9070D"/>
    <w:rsid w:val="00E91264"/>
    <w:rsid w:val="00E92750"/>
    <w:rsid w:val="00E92DE1"/>
    <w:rsid w:val="00E9350D"/>
    <w:rsid w:val="00E9562B"/>
    <w:rsid w:val="00E95E85"/>
    <w:rsid w:val="00E960D9"/>
    <w:rsid w:val="00E973EA"/>
    <w:rsid w:val="00EA0009"/>
    <w:rsid w:val="00EA0081"/>
    <w:rsid w:val="00EA1E66"/>
    <w:rsid w:val="00EA2FDC"/>
    <w:rsid w:val="00EA329E"/>
    <w:rsid w:val="00EA391C"/>
    <w:rsid w:val="00EA4F37"/>
    <w:rsid w:val="00EA52B1"/>
    <w:rsid w:val="00EA66BD"/>
    <w:rsid w:val="00EB06CE"/>
    <w:rsid w:val="00EB25BB"/>
    <w:rsid w:val="00EB3C3F"/>
    <w:rsid w:val="00EB3D94"/>
    <w:rsid w:val="00EB4813"/>
    <w:rsid w:val="00EB492E"/>
    <w:rsid w:val="00EB5350"/>
    <w:rsid w:val="00EB69C6"/>
    <w:rsid w:val="00EC02C3"/>
    <w:rsid w:val="00EC0472"/>
    <w:rsid w:val="00EC1477"/>
    <w:rsid w:val="00EC28FB"/>
    <w:rsid w:val="00EC2EEF"/>
    <w:rsid w:val="00EC3019"/>
    <w:rsid w:val="00EC4BBA"/>
    <w:rsid w:val="00ED1A36"/>
    <w:rsid w:val="00ED2CEA"/>
    <w:rsid w:val="00ED3079"/>
    <w:rsid w:val="00ED32FD"/>
    <w:rsid w:val="00ED4BA6"/>
    <w:rsid w:val="00ED5D53"/>
    <w:rsid w:val="00ED68CA"/>
    <w:rsid w:val="00EE0117"/>
    <w:rsid w:val="00EE244C"/>
    <w:rsid w:val="00EE409E"/>
    <w:rsid w:val="00EE454E"/>
    <w:rsid w:val="00EE5E0A"/>
    <w:rsid w:val="00EE73EE"/>
    <w:rsid w:val="00EF1952"/>
    <w:rsid w:val="00EF2543"/>
    <w:rsid w:val="00EF27EC"/>
    <w:rsid w:val="00EF2A97"/>
    <w:rsid w:val="00EF2C7B"/>
    <w:rsid w:val="00EF32FC"/>
    <w:rsid w:val="00EF39B9"/>
    <w:rsid w:val="00EF439B"/>
    <w:rsid w:val="00EF499F"/>
    <w:rsid w:val="00EF4DA4"/>
    <w:rsid w:val="00EF5176"/>
    <w:rsid w:val="00EF5F5E"/>
    <w:rsid w:val="00EF5F62"/>
    <w:rsid w:val="00EF66CD"/>
    <w:rsid w:val="00F006BC"/>
    <w:rsid w:val="00F00F02"/>
    <w:rsid w:val="00F013F7"/>
    <w:rsid w:val="00F014EC"/>
    <w:rsid w:val="00F0174A"/>
    <w:rsid w:val="00F01784"/>
    <w:rsid w:val="00F03260"/>
    <w:rsid w:val="00F03E9A"/>
    <w:rsid w:val="00F07259"/>
    <w:rsid w:val="00F11A01"/>
    <w:rsid w:val="00F125E9"/>
    <w:rsid w:val="00F14C61"/>
    <w:rsid w:val="00F169B7"/>
    <w:rsid w:val="00F17508"/>
    <w:rsid w:val="00F20224"/>
    <w:rsid w:val="00F2195C"/>
    <w:rsid w:val="00F21A76"/>
    <w:rsid w:val="00F22709"/>
    <w:rsid w:val="00F231DD"/>
    <w:rsid w:val="00F24404"/>
    <w:rsid w:val="00F246DA"/>
    <w:rsid w:val="00F25C3D"/>
    <w:rsid w:val="00F30AD3"/>
    <w:rsid w:val="00F30BDF"/>
    <w:rsid w:val="00F31400"/>
    <w:rsid w:val="00F32055"/>
    <w:rsid w:val="00F32959"/>
    <w:rsid w:val="00F346AA"/>
    <w:rsid w:val="00F34FFB"/>
    <w:rsid w:val="00F371CA"/>
    <w:rsid w:val="00F37FC4"/>
    <w:rsid w:val="00F4036D"/>
    <w:rsid w:val="00F412C9"/>
    <w:rsid w:val="00F4151C"/>
    <w:rsid w:val="00F42745"/>
    <w:rsid w:val="00F44ED0"/>
    <w:rsid w:val="00F44F11"/>
    <w:rsid w:val="00F45826"/>
    <w:rsid w:val="00F4631B"/>
    <w:rsid w:val="00F4658D"/>
    <w:rsid w:val="00F470DC"/>
    <w:rsid w:val="00F47F4E"/>
    <w:rsid w:val="00F50C0F"/>
    <w:rsid w:val="00F50FBA"/>
    <w:rsid w:val="00F52D6A"/>
    <w:rsid w:val="00F52F2E"/>
    <w:rsid w:val="00F53220"/>
    <w:rsid w:val="00F53812"/>
    <w:rsid w:val="00F544DF"/>
    <w:rsid w:val="00F56AB1"/>
    <w:rsid w:val="00F579C5"/>
    <w:rsid w:val="00F6073E"/>
    <w:rsid w:val="00F635B7"/>
    <w:rsid w:val="00F64B76"/>
    <w:rsid w:val="00F64D38"/>
    <w:rsid w:val="00F64E76"/>
    <w:rsid w:val="00F64F7C"/>
    <w:rsid w:val="00F6630F"/>
    <w:rsid w:val="00F66A10"/>
    <w:rsid w:val="00F67075"/>
    <w:rsid w:val="00F6799F"/>
    <w:rsid w:val="00F700EF"/>
    <w:rsid w:val="00F70E63"/>
    <w:rsid w:val="00F727E9"/>
    <w:rsid w:val="00F72B2B"/>
    <w:rsid w:val="00F73208"/>
    <w:rsid w:val="00F73F22"/>
    <w:rsid w:val="00F76FA2"/>
    <w:rsid w:val="00F770F9"/>
    <w:rsid w:val="00F83DC1"/>
    <w:rsid w:val="00F86FAE"/>
    <w:rsid w:val="00F873C4"/>
    <w:rsid w:val="00F954E2"/>
    <w:rsid w:val="00F96537"/>
    <w:rsid w:val="00F97AE7"/>
    <w:rsid w:val="00FA0F9A"/>
    <w:rsid w:val="00FA55C9"/>
    <w:rsid w:val="00FA5BE8"/>
    <w:rsid w:val="00FA70C5"/>
    <w:rsid w:val="00FA7FC8"/>
    <w:rsid w:val="00FB2044"/>
    <w:rsid w:val="00FB284A"/>
    <w:rsid w:val="00FB2E76"/>
    <w:rsid w:val="00FB6462"/>
    <w:rsid w:val="00FC0282"/>
    <w:rsid w:val="00FC09E1"/>
    <w:rsid w:val="00FC1384"/>
    <w:rsid w:val="00FC3566"/>
    <w:rsid w:val="00FC38BE"/>
    <w:rsid w:val="00FC60BB"/>
    <w:rsid w:val="00FC67D4"/>
    <w:rsid w:val="00FC72F0"/>
    <w:rsid w:val="00FD3D46"/>
    <w:rsid w:val="00FD6C42"/>
    <w:rsid w:val="00FD7891"/>
    <w:rsid w:val="00FE099F"/>
    <w:rsid w:val="00FE1349"/>
    <w:rsid w:val="00FE4454"/>
    <w:rsid w:val="00FE4C71"/>
    <w:rsid w:val="00FF0D99"/>
    <w:rsid w:val="00FF3620"/>
    <w:rsid w:val="00FF5EC4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C160"/>
  <w15:docId w15:val="{17705B74-2DEA-4458-833A-2ABA5FA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pPr>
      <w:jc w:val="center"/>
    </w:pPr>
    <w:rPr>
      <w:b/>
      <w:sz w:val="28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8867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962635"/>
    <w:rPr>
      <w:rFonts w:ascii="Tahoma" w:hAnsi="Tahoma" w:cs="Tahoma"/>
      <w:sz w:val="16"/>
      <w:szCs w:val="16"/>
    </w:rPr>
  </w:style>
  <w:style w:type="character" w:styleId="a6">
    <w:name w:val="Hyperlink"/>
    <w:rsid w:val="00D3428B"/>
    <w:rPr>
      <w:color w:val="0000FF"/>
      <w:u w:val="single"/>
    </w:rPr>
  </w:style>
  <w:style w:type="paragraph" w:styleId="a7">
    <w:name w:val="Body Text Indent"/>
    <w:basedOn w:val="a"/>
    <w:rsid w:val="00F246DA"/>
    <w:pPr>
      <w:spacing w:after="120"/>
      <w:ind w:left="283"/>
    </w:pPr>
  </w:style>
  <w:style w:type="paragraph" w:styleId="a8">
    <w:name w:val="Body Text"/>
    <w:basedOn w:val="a"/>
    <w:rsid w:val="00A30552"/>
    <w:pPr>
      <w:spacing w:after="120"/>
    </w:pPr>
  </w:style>
  <w:style w:type="paragraph" w:styleId="a9">
    <w:name w:val="header"/>
    <w:basedOn w:val="a"/>
    <w:link w:val="aa"/>
    <w:uiPriority w:val="99"/>
    <w:rsid w:val="00296C46"/>
    <w:pPr>
      <w:tabs>
        <w:tab w:val="center" w:pos="4677"/>
        <w:tab w:val="right" w:pos="9355"/>
      </w:tabs>
    </w:pPr>
  </w:style>
  <w:style w:type="paragraph" w:customStyle="1" w:styleId="ab">
    <w:name w:val="Обычный (веб)"/>
    <w:basedOn w:val="a"/>
    <w:uiPriority w:val="99"/>
    <w:rsid w:val="00D01BF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81A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326070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D818F9"/>
  </w:style>
  <w:style w:type="character" w:styleId="ac">
    <w:name w:val="Unresolved Mention"/>
    <w:basedOn w:val="a0"/>
    <w:uiPriority w:val="99"/>
    <w:semiHidden/>
    <w:unhideWhenUsed/>
    <w:rsid w:val="00AC1BAC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196F99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uiPriority w:val="22"/>
    <w:qFormat/>
    <w:rsid w:val="00196F99"/>
    <w:rPr>
      <w:b/>
      <w:bCs/>
    </w:rPr>
  </w:style>
  <w:style w:type="paragraph" w:styleId="af">
    <w:name w:val="List Paragraph"/>
    <w:basedOn w:val="a"/>
    <w:uiPriority w:val="34"/>
    <w:qFormat/>
    <w:rsid w:val="00045657"/>
    <w:pPr>
      <w:ind w:left="720"/>
      <w:contextualSpacing/>
    </w:pPr>
  </w:style>
  <w:style w:type="paragraph" w:styleId="af0">
    <w:name w:val="No Spacing"/>
    <w:uiPriority w:val="1"/>
    <w:qFormat/>
    <w:rsid w:val="00F76FA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57E60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037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4;&#1072;&#1090;&#1072;&#1085;&#1080;&#1085;\Documents\&#1053;&#1072;&#1089;&#1090;&#1088;&#1072;&#1080;&#1074;&#1072;&#1077;&#1084;&#1099;&#1077;%20&#1096;&#1072;&#1073;&#1083;&#1086;&#1085;&#1099;%20Office\&#1041;&#1083;&#1072;&#1085;&#1082;%20&#1057;&#1083;&#1091;&#1078;&#1073;&#1099;%20&#1089;%20&#1069;&#1055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data\&#1087;&#1072;&#1087;&#1082;&#1080;%20&#1086;&#1090;&#1076;&#1077;&#1083;&#1086;&#1074;\&#1054;&#1090;&#1076;&#1077;&#1083;%20&#1053;&#1044;&#1057;\&#1060;&#1080;&#1085;&#1052;&#1086;&#1085;&#1080;&#1090;&#1086;&#1088;&#1080;&#1085;&#1075;%20(2022%20&#1075;%20&#1089;%20&#1084;&#1072;&#1088;&#1090;&#1072;)\&#1060;&#1080;&#1085;%20&#1084;&#1086;&#1085;&#1080;&#1090;&#1086;&#1088;&#1080;&#1085;&#1075;\2024\&#1044;&#1080;&#1072;&#1075;&#1088;&#1072;&#1084;&#1084;&#1099;\&#1057;&#1073;&#1086;&#1088;%20&#1089;&#1088;&#1077;&#1076;&#1085;&#1077;&#1081;%20&#1094;&#1077;&#1085;&#1099;%20&#1044;&#1044;&#1059;%20&#1084;&#1072;&#1088;&#1090;%20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data\&#1087;&#1072;&#1087;&#1082;&#1080;%20&#1086;&#1090;&#1076;&#1077;&#1083;&#1086;&#1074;\&#1054;&#1090;&#1076;&#1077;&#1083;%20&#1053;&#1044;&#1057;\&#1060;&#1080;&#1085;&#1052;&#1086;&#1085;&#1080;&#1090;&#1086;&#1088;&#1080;&#1085;&#1075;%20(2022%20&#1075;%20&#1089;%20&#1084;&#1072;&#1088;&#1090;&#1072;)\&#1060;&#1080;&#1085;%20&#1084;&#1086;&#1085;&#1080;&#1090;&#1086;&#1088;&#1080;&#1085;&#1075;\2024\&#1044;&#1080;&#1072;&#1075;&#1088;&#1072;&#1084;&#1084;&#1099;\&#1057;&#1073;&#1086;&#1088;%20&#1089;&#1088;&#1077;&#1076;&#1085;&#1077;&#1081;%20&#1094;&#1077;&#1085;&#1099;%20&#1044;&#1044;&#1059;%20&#1084;&#1072;&#1088;&#1090;%20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data\&#1087;&#1072;&#1087;&#1082;&#1080;%20&#1086;&#1090;&#1076;&#1077;&#1083;&#1086;&#1074;\&#1054;&#1090;&#1076;&#1077;&#1083;%20&#1053;&#1044;&#1057;\&#1060;&#1080;&#1085;&#1052;&#1086;&#1085;&#1080;&#1090;&#1086;&#1088;&#1080;&#1085;&#1075;%20(2022%20&#1075;%20&#1089;%20&#1084;&#1072;&#1088;&#1090;&#1072;)\&#1060;&#1080;&#1085;%20&#1084;&#1086;&#1085;&#1080;&#1090;&#1086;&#1088;&#1080;&#1085;&#1075;\2024\&#1044;&#1080;&#1072;&#1075;&#1088;&#1072;&#1084;&#1084;&#1099;\&#1057;&#1073;&#1086;&#1088;%20&#1089;&#1088;&#1077;&#1076;&#1085;&#1077;&#1081;%20&#1094;&#1077;&#1085;&#1099;%20&#1044;&#1044;&#1059;%20&#1084;&#1072;&#1088;&#1090;%20202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data\&#1087;&#1072;&#1087;&#1082;&#1080;%20&#1086;&#1090;&#1076;&#1077;&#1083;&#1086;&#1074;\&#1054;&#1090;&#1076;&#1077;&#1083;%20&#1053;&#1044;&#1057;\&#1060;&#1080;&#1085;&#1052;&#1086;&#1085;&#1080;&#1090;&#1086;&#1088;&#1080;&#1085;&#1075;%20(2022%20&#1075;%20&#1089;%20&#1084;&#1072;&#1088;&#1090;&#1072;)\&#1060;&#1080;&#1085;%20&#1084;&#1086;&#1085;&#1080;&#1090;&#1086;&#1088;&#1080;&#1085;&#1075;\2024\&#1044;&#1080;&#1072;&#1075;&#1088;&#1072;&#1084;&#1084;&#1099;\&#1057;&#1073;&#1086;&#1088;%20&#1089;&#1088;&#1077;&#1076;&#1085;&#1077;&#1081;%20&#1094;&#1077;&#1085;&#1099;%20&#1044;&#1044;&#1059;%20&#1084;&#1072;&#1088;&#1090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9556650246305417E-2"/>
          <c:y val="0.24843007355284324"/>
          <c:w val="0.94581280788177335"/>
          <c:h val="0.638651262214384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Лист1!$G$71</c:f>
              <c:strCache>
                <c:ptCount val="1"/>
                <c:pt idx="0">
                  <c:v>средн. площадь на 1 ДДУ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Лист1!$F$81:$F$86</c:f>
              <c:strCache>
                <c:ptCount val="6"/>
                <c:pt idx="0">
                  <c:v>01.2023</c:v>
                </c:pt>
                <c:pt idx="1">
                  <c:v>02.2023</c:v>
                </c:pt>
                <c:pt idx="2">
                  <c:v>03.2023</c:v>
                </c:pt>
                <c:pt idx="3">
                  <c:v>01.2024</c:v>
                </c:pt>
                <c:pt idx="4">
                  <c:v>02.2024</c:v>
                </c:pt>
                <c:pt idx="5">
                  <c:v>03.2024</c:v>
                </c:pt>
              </c:strCache>
            </c:strRef>
          </c:cat>
          <c:val>
            <c:numRef>
              <c:f>Лист1!$G$81:$G$86</c:f>
              <c:numCache>
                <c:formatCode>0.00</c:formatCode>
                <c:ptCount val="6"/>
                <c:pt idx="0">
                  <c:v>54.298216432865715</c:v>
                </c:pt>
                <c:pt idx="1">
                  <c:v>53.14</c:v>
                </c:pt>
                <c:pt idx="2" formatCode="General">
                  <c:v>53.05</c:v>
                </c:pt>
                <c:pt idx="3" formatCode="General">
                  <c:v>46.47</c:v>
                </c:pt>
                <c:pt idx="4">
                  <c:v>47.97</c:v>
                </c:pt>
                <c:pt idx="5" formatCode="General">
                  <c:v>49.76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9F-4BA6-91B4-8464EEFEF66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8153856"/>
        <c:axId val="108160896"/>
      </c:barChart>
      <c:catAx>
        <c:axId val="10815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160896"/>
        <c:crosses val="autoZero"/>
        <c:auto val="1"/>
        <c:lblAlgn val="ctr"/>
        <c:lblOffset val="100"/>
        <c:noMultiLvlLbl val="0"/>
      </c:catAx>
      <c:valAx>
        <c:axId val="108160896"/>
        <c:scaling>
          <c:orientation val="minMax"/>
        </c:scaling>
        <c:delete val="1"/>
        <c:axPos val="l"/>
        <c:numFmt formatCode="0.00" sourceLinked="1"/>
        <c:majorTickMark val="none"/>
        <c:minorTickMark val="none"/>
        <c:tickLblPos val="nextTo"/>
        <c:crossAx val="10815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305821833942241E-2"/>
          <c:y val="0.22794009178823144"/>
          <c:w val="0.83061679790026244"/>
          <c:h val="0.63154646779216517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Лист1!$B$71</c:f>
              <c:strCache>
                <c:ptCount val="1"/>
                <c:pt idx="0">
                  <c:v>количество ДДУ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889644116968092E-2"/>
                  <c:y val="9.12161940665464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4E1-489F-967C-9C8627D8B87D}"/>
                </c:ext>
              </c:extLst>
            </c:dLbl>
            <c:dLbl>
              <c:idx val="1"/>
              <c:layout>
                <c:manualLayout>
                  <c:x val="3.4582132564841501E-2"/>
                  <c:y val="9.45945694311103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E1-489F-967C-9C8627D8B87D}"/>
                </c:ext>
              </c:extLst>
            </c:dLbl>
            <c:dLbl>
              <c:idx val="2"/>
              <c:layout>
                <c:manualLayout>
                  <c:x val="4.9580261829805058E-2"/>
                  <c:y val="0.1190622438944435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E1-489F-967C-9C8627D8B87D}"/>
                </c:ext>
              </c:extLst>
            </c:dLbl>
            <c:dLbl>
              <c:idx val="3"/>
              <c:layout>
                <c:manualLayout>
                  <c:x val="4.4965891202102891E-2"/>
                  <c:y val="0.1573164235371249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4E1-489F-967C-9C8627D8B87D}"/>
                </c:ext>
              </c:extLst>
            </c:dLbl>
            <c:dLbl>
              <c:idx val="4"/>
              <c:layout>
                <c:manualLayout>
                  <c:x val="4.3427767659535509E-2"/>
                  <c:y val="5.76200622848712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4E1-489F-967C-9C8627D8B87D}"/>
                </c:ext>
              </c:extLst>
            </c:dLbl>
            <c:dLbl>
              <c:idx val="5"/>
              <c:layout>
                <c:manualLayout>
                  <c:x val="4.3427767659535509E-2"/>
                  <c:y val="0.112262743812489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4E1-489F-967C-9C8627D8B87D}"/>
                </c:ext>
              </c:extLst>
            </c:dLbl>
            <c:dLbl>
              <c:idx val="6"/>
              <c:layout>
                <c:manualLayout>
                  <c:x val="3.266090297790579E-2"/>
                  <c:y val="0.141891854146665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4E1-489F-967C-9C8627D8B87D}"/>
                </c:ext>
              </c:extLst>
            </c:dLbl>
            <c:dLbl>
              <c:idx val="7"/>
              <c:layout>
                <c:manualLayout>
                  <c:x val="3.2660902977905859E-2"/>
                  <c:y val="0.1452702316263482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4E1-489F-967C-9C8627D8B87D}"/>
                </c:ext>
              </c:extLst>
            </c:dLbl>
            <c:dLbl>
              <c:idx val="8"/>
              <c:layout>
                <c:manualLayout>
                  <c:x val="3.4582132564841356E-2"/>
                  <c:y val="0.1587837415450783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4E1-489F-967C-9C8627D8B87D}"/>
                </c:ext>
              </c:extLst>
            </c:dLbl>
            <c:dLbl>
              <c:idx val="9"/>
              <c:layout>
                <c:manualLayout>
                  <c:x val="2.4975984630163303E-2"/>
                  <c:y val="9.79729469107930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4E1-489F-967C-9C8627D8B87D}"/>
                </c:ext>
              </c:extLst>
            </c:dLbl>
            <c:dLbl>
              <c:idx val="10"/>
              <c:layout>
                <c:manualLayout>
                  <c:x val="2.5770999306009311E-2"/>
                  <c:y val="8.48972951898576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4E1-489F-967C-9C8627D8B87D}"/>
                </c:ext>
              </c:extLst>
            </c:dLbl>
            <c:dLbl>
              <c:idx val="11"/>
              <c:layout>
                <c:manualLayout>
                  <c:x val="2.5848388966716471E-2"/>
                  <c:y val="0.126647345299650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4E1-489F-967C-9C8627D8B87D}"/>
                </c:ext>
              </c:extLst>
            </c:dLbl>
            <c:dLbl>
              <c:idx val="12"/>
              <c:layout>
                <c:manualLayout>
                  <c:x val="2.3006134969325041E-2"/>
                  <c:y val="4.16088674721531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4E1-489F-967C-9C8627D8B8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Лист1!$A$45:$A$50</c:f>
              <c:strCache>
                <c:ptCount val="6"/>
                <c:pt idx="0">
                  <c:v>01.2023</c:v>
                </c:pt>
                <c:pt idx="1">
                  <c:v>02.2023</c:v>
                </c:pt>
                <c:pt idx="2">
                  <c:v>03.2023</c:v>
                </c:pt>
                <c:pt idx="3">
                  <c:v>01.2024</c:v>
                </c:pt>
                <c:pt idx="4">
                  <c:v>02.2024</c:v>
                </c:pt>
                <c:pt idx="5">
                  <c:v>03.2024</c:v>
                </c:pt>
              </c:strCache>
            </c:strRef>
          </c:cat>
          <c:val>
            <c:numRef>
              <c:f>Лист1!$B$81:$B$86</c:f>
              <c:numCache>
                <c:formatCode>General</c:formatCode>
                <c:ptCount val="6"/>
                <c:pt idx="0" formatCode="0">
                  <c:v>499</c:v>
                </c:pt>
                <c:pt idx="1">
                  <c:v>540</c:v>
                </c:pt>
                <c:pt idx="2">
                  <c:v>973</c:v>
                </c:pt>
                <c:pt idx="3">
                  <c:v>707</c:v>
                </c:pt>
                <c:pt idx="4" formatCode="#,##0">
                  <c:v>464</c:v>
                </c:pt>
                <c:pt idx="5">
                  <c:v>660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4E1-489F-967C-9C8627D8B87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8298624"/>
        <c:axId val="108300160"/>
      </c:barChart>
      <c:lineChart>
        <c:grouping val="standard"/>
        <c:varyColors val="0"/>
        <c:ser>
          <c:idx val="0"/>
          <c:order val="1"/>
          <c:tx>
            <c:strRef>
              <c:f>Лист1!$B$35</c:f>
              <c:strCache>
                <c:ptCount val="1"/>
                <c:pt idx="0">
                  <c:v>продано кв.м.</c:v>
                </c:pt>
              </c:strCache>
            </c:strRef>
          </c:tx>
          <c:spPr>
            <a:ln w="19050" cap="rnd" cmpd="sng" algn="ctr">
              <a:solidFill>
                <a:schemeClr val="accent1">
                  <a:shade val="95000"/>
                  <a:satMod val="105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7728259471888799E-2"/>
                  <c:y val="-9.9636864323030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4E1-489F-967C-9C8627D8B87D}"/>
                </c:ext>
              </c:extLst>
            </c:dLbl>
            <c:dLbl>
              <c:idx val="3"/>
              <c:layout>
                <c:manualLayout>
                  <c:x val="-1.9215038633545692E-2"/>
                  <c:y val="-0.1031380101622684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4E1-489F-967C-9C8627D8B87D}"/>
                </c:ext>
              </c:extLst>
            </c:dLbl>
            <c:dLbl>
              <c:idx val="5"/>
              <c:layout>
                <c:manualLayout>
                  <c:x val="-3.3885800298017577E-2"/>
                  <c:y val="-0.106393619282395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4E1-489F-967C-9C8627D8B87D}"/>
                </c:ext>
              </c:extLst>
            </c:dLbl>
            <c:dLbl>
              <c:idx val="8"/>
              <c:layout>
                <c:manualLayout>
                  <c:x val="-3.0074050541967239E-4"/>
                  <c:y val="-4.42399861034299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4E1-489F-967C-9C8627D8B87D}"/>
                </c:ext>
              </c:extLst>
            </c:dLbl>
            <c:dLbl>
              <c:idx val="9"/>
              <c:layout>
                <c:manualLayout>
                  <c:x val="-2.2215313863865001E-2"/>
                  <c:y val="-0.104270561749690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4E1-489F-967C-9C8627D8B87D}"/>
                </c:ext>
              </c:extLst>
            </c:dLbl>
            <c:dLbl>
              <c:idx val="10"/>
              <c:layout>
                <c:manualLayout>
                  <c:x val="-3.6228419324596896E-2"/>
                  <c:y val="-0.15510867371319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4E1-489F-967C-9C8627D8B8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Лист1!$A$45:$A$50</c:f>
              <c:strCache>
                <c:ptCount val="6"/>
                <c:pt idx="0">
                  <c:v>01.2023</c:v>
                </c:pt>
                <c:pt idx="1">
                  <c:v>02.2023</c:v>
                </c:pt>
                <c:pt idx="2">
                  <c:v>03.2023</c:v>
                </c:pt>
                <c:pt idx="3">
                  <c:v>01.2024</c:v>
                </c:pt>
                <c:pt idx="4">
                  <c:v>02.2024</c:v>
                </c:pt>
                <c:pt idx="5">
                  <c:v>03.2024</c:v>
                </c:pt>
              </c:strCache>
            </c:strRef>
          </c:cat>
          <c:val>
            <c:numRef>
              <c:f>Лист1!$B$45:$B$50</c:f>
              <c:numCache>
                <c:formatCode>#,##0.00</c:formatCode>
                <c:ptCount val="6"/>
                <c:pt idx="0">
                  <c:v>27094.80999999999</c:v>
                </c:pt>
                <c:pt idx="1">
                  <c:v>28693.170000000006</c:v>
                </c:pt>
                <c:pt idx="2">
                  <c:v>51617.960000000006</c:v>
                </c:pt>
                <c:pt idx="3">
                  <c:v>32852</c:v>
                </c:pt>
                <c:pt idx="4">
                  <c:v>22255.869999999984</c:v>
                </c:pt>
                <c:pt idx="5">
                  <c:v>32840.74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64E1-489F-967C-9C8627D8B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328064"/>
        <c:axId val="108301696"/>
      </c:lineChart>
      <c:catAx>
        <c:axId val="10829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300160"/>
        <c:crosses val="autoZero"/>
        <c:auto val="1"/>
        <c:lblAlgn val="ctr"/>
        <c:lblOffset val="100"/>
        <c:noMultiLvlLbl val="0"/>
      </c:catAx>
      <c:valAx>
        <c:axId val="108300160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108298624"/>
        <c:crosses val="autoZero"/>
        <c:crossBetween val="between"/>
      </c:valAx>
      <c:valAx>
        <c:axId val="108301696"/>
        <c:scaling>
          <c:orientation val="minMax"/>
        </c:scaling>
        <c:delete val="0"/>
        <c:axPos val="r"/>
        <c:numFmt formatCode="#,##0.00" sourceLinked="1"/>
        <c:majorTickMark val="out"/>
        <c:minorTickMark val="none"/>
        <c:tickLblPos val="nextTo"/>
        <c:crossAx val="108328064"/>
        <c:crosses val="max"/>
        <c:crossBetween val="between"/>
      </c:valAx>
      <c:catAx>
        <c:axId val="1083280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8301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"/>
          <c:y val="3.2962651820421188E-3"/>
          <c:w val="1"/>
          <c:h val="0.22027884772988035"/>
        </c:manualLayout>
      </c:layout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83046683046681E-2"/>
          <c:y val="0.23962321255127872"/>
          <c:w val="0.92628992628992624"/>
          <c:h val="0.643290765889437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Лист1!$J$35</c:f>
              <c:strCache>
                <c:ptCount val="1"/>
                <c:pt idx="0">
                  <c:v>Средняя стоимость кв.м., руб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Лист1!$I$45:$I$50</c:f>
              <c:strCache>
                <c:ptCount val="6"/>
                <c:pt idx="0">
                  <c:v>01.2023</c:v>
                </c:pt>
                <c:pt idx="1">
                  <c:v>02.2023</c:v>
                </c:pt>
                <c:pt idx="2">
                  <c:v>03.2023</c:v>
                </c:pt>
                <c:pt idx="3">
                  <c:v>01.2024</c:v>
                </c:pt>
                <c:pt idx="4">
                  <c:v>02.2024</c:v>
                </c:pt>
                <c:pt idx="5">
                  <c:v>03.2024</c:v>
                </c:pt>
              </c:strCache>
            </c:strRef>
          </c:cat>
          <c:val>
            <c:numRef>
              <c:f>Лист1!$J$45:$J$50</c:f>
              <c:numCache>
                <c:formatCode>#,##0.00</c:formatCode>
                <c:ptCount val="6"/>
                <c:pt idx="0">
                  <c:v>101911.78880014295</c:v>
                </c:pt>
                <c:pt idx="1">
                  <c:v>100865.13611706198</c:v>
                </c:pt>
                <c:pt idx="2">
                  <c:v>101996.69828815396</c:v>
                </c:pt>
                <c:pt idx="3">
                  <c:v>120393.22453857952</c:v>
                </c:pt>
                <c:pt idx="4">
                  <c:v>120682.3291208118</c:v>
                </c:pt>
                <c:pt idx="5">
                  <c:v>125872.08935974038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58-432E-ADA6-281CEAA5758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7935232"/>
        <c:axId val="108425600"/>
      </c:barChart>
      <c:catAx>
        <c:axId val="10793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425600"/>
        <c:crosses val="autoZero"/>
        <c:auto val="1"/>
        <c:lblAlgn val="ctr"/>
        <c:lblOffset val="100"/>
        <c:noMultiLvlLbl val="0"/>
      </c:catAx>
      <c:valAx>
        <c:axId val="108425600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107935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251256281407038E-2"/>
          <c:y val="0.1876116017286677"/>
          <c:w val="0.91708542713567842"/>
          <c:h val="0.688582172644407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Лист1!$G$35</c:f>
              <c:strCache>
                <c:ptCount val="1"/>
                <c:pt idx="0">
                  <c:v>Сумма цен ДДУ, руб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 algn="ctr">
                    <a:defRPr lang="ru-RU" sz="900" b="1" i="0" u="none" strike="noStrike" kern="1200" baseline="0">
                      <a:solidFill>
                        <a:srgbClr val="4F81BD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1E3E-4A6A-8B2B-20B9BFFF15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Лист1!$F$45:$F$50</c:f>
              <c:strCache>
                <c:ptCount val="6"/>
                <c:pt idx="0">
                  <c:v>01.2023</c:v>
                </c:pt>
                <c:pt idx="1">
                  <c:v>02.2023</c:v>
                </c:pt>
                <c:pt idx="2">
                  <c:v>03.2023</c:v>
                </c:pt>
                <c:pt idx="3">
                  <c:v>01.2024</c:v>
                </c:pt>
                <c:pt idx="4">
                  <c:v>02.2024</c:v>
                </c:pt>
                <c:pt idx="5">
                  <c:v>03.2024</c:v>
                </c:pt>
              </c:strCache>
            </c:strRef>
          </c:cat>
          <c:val>
            <c:numRef>
              <c:f>Лист1!$C$45:$C$50</c:f>
              <c:numCache>
                <c:formatCode>#,##0.00</c:formatCode>
                <c:ptCount val="6"/>
                <c:pt idx="0">
                  <c:v>2761280554.3000002</c:v>
                </c:pt>
                <c:pt idx="1">
                  <c:v>2894140497.6799998</c:v>
                </c:pt>
                <c:pt idx="2">
                  <c:v>5264861492.3699999</c:v>
                </c:pt>
                <c:pt idx="3">
                  <c:v>3955200350.1700001</c:v>
                </c:pt>
                <c:pt idx="4">
                  <c:v>2685890228.21</c:v>
                </c:pt>
                <c:pt idx="5">
                  <c:v>4133732559.9200001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3E-4A6A-8B2B-20B9BFFF15B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7916672"/>
        <c:axId val="107919616"/>
      </c:barChart>
      <c:catAx>
        <c:axId val="10791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7919616"/>
        <c:crosses val="autoZero"/>
        <c:auto val="1"/>
        <c:lblAlgn val="ctr"/>
        <c:lblOffset val="100"/>
        <c:noMultiLvlLbl val="0"/>
      </c:catAx>
      <c:valAx>
        <c:axId val="107919616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10791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9E53922-7210-4CB3-9522-4B101D3D9EA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Службы с ЭП.dotx</Template>
  <TotalTime>22</TotalTime>
  <Pages>6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Матанин Андрей Юрьевич</dc:creator>
  <cp:keywords/>
  <dc:description/>
  <cp:lastModifiedBy>Матанин Андрей Юрьевич</cp:lastModifiedBy>
  <cp:revision>5</cp:revision>
  <cp:lastPrinted>2024-04-12T10:34:00Z</cp:lastPrinted>
  <dcterms:created xsi:type="dcterms:W3CDTF">2024-04-12T10:57:00Z</dcterms:created>
  <dcterms:modified xsi:type="dcterms:W3CDTF">2024-04-15T08:23:00Z</dcterms:modified>
</cp:coreProperties>
</file>